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jpg" ContentType="image/jpeg"/>
  <Override PartName="/word/media/rId68.png" ContentType="image/png"/>
  <Override PartName="/word/media/rId63.png" ContentType="image/png"/>
  <Override PartName="/word/media/rId87.png" ContentType="image/png"/>
  <Override PartName="/word/media/rId27.jpg" ContentType="image/jpeg"/>
  <Override PartName="/word/media/rId73.png" ContentType="image/png"/>
  <Override PartName="/word/media/rId30.jpg" ContentType="image/jpeg"/>
  <Override PartName="/word/media/rId92.png" ContentType="image/png"/>
  <Override PartName="/word/media/rId83.png" ContentType="image/png"/>
  <Override PartName="/word/media/rId79.png" ContentType="image/png"/>
  <Override PartName="/word/media/rId22.png" ContentType="image/png"/>
  <Override PartName="/word/media/rId33.jpg" ContentType="image/jpeg"/>
  <Override PartName="/word/media/rId36.jpg" ContentType="image/jpeg"/>
  <Override PartName="/word/media/rId43.png" ContentType="image/png"/>
  <Override PartName="/word/media/image1.png" ContentType="image/pn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Modelagem Fuzzy-PLS da Dinâmica de Fósforo e Nitrogênio em Usos do Solo no Sul do Tocantins</w:t>
      </w:r>
    </w:p>
    <w:p>
      <w:pPr>
        <w:pStyle w:val="Author"/>
      </w:pPr>
      <w:r>
        <w:t xml:space="preserve">Diego et al.</w:t>
      </w:r>
    </w:p>
    <w:p>
      <w:pPr>
        <w:pStyle w:val="Data"/>
      </w:pPr>
      <w:r>
        <w:t xml:space="preserve">2025-10-31</w:t>
      </w:r>
    </w:p>
    <w:sdt>
      <w:sdtPr>
        <w:docPartObj>
          <w:docPartGallery w:val="Table of Contents"/>
          <w:docPartUnique/>
        </w:docPartObj>
      </w:sdtPr>
      <w:sdtContent>
        <w:p>
          <w:pPr>
            <w:pStyle w:val="CabealhodoSumrio"/>
          </w:pPr>
          <w:r>
            <w:t xml:space="preserve">Table of contents</w:t>
          </w:r>
        </w:p>
        <w:p>
          <w:r>
            <w:fldChar w:fldCharType="begin" w:dirty="true"/>
            <w:instrText xml:space="preserve">TOC \o "1-3" \h \z \u</w:instrText>
            <w:fldChar w:fldCharType="separate"/>
            <w:fldChar w:fldCharType="end"/>
          </w:r>
        </w:p>
      </w:sdtContent>
    </w:sdt>
    <w:bookmarkStart w:id="20" w:name="resumo"/>
    <w:p>
      <w:pPr>
        <w:pStyle w:val="Ttulo1"/>
      </w:pPr>
      <w:r>
        <w:t xml:space="preserve">Resumo</w:t>
      </w:r>
    </w:p>
    <w:p>
      <w:pPr>
        <w:pStyle w:val="FirstParagraph"/>
      </w:pPr>
    </w:p>
    <w:p>
      <w:pPr>
        <w:pStyle w:val="Corpodetexto"/>
      </w:pPr>
      <w:r>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fuzzy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Fuzzy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multiescalar para o diagnóstico da sustentabilidade nutricional do solo e a orientação de intervenções conservacionistas em ambientes tropicais.</w:t>
      </w:r>
    </w:p>
    <w:p>
      <w:pPr>
        <w:pStyle w:val="Corpodetexto"/>
      </w:pPr>
      <w:r>
        <w:rPr>
          <w:b/>
          <w:bCs/>
        </w:rPr>
        <w:t xml:space="preserve">Palavras-chave:</w:t>
      </w:r>
      <w:r>
        <w:t xml:space="preserve"> </w:t>
      </w:r>
      <w:r>
        <w:t xml:space="preserve">Nitrogênio do solo; Frações húmicas; Mudança de uso da terra; Cerrado; Latossolo; PLS-SEM; PLSR.</w:t>
      </w:r>
    </w:p>
    <w:p>
      <w:pPr>
        <w:pStyle w:val="Corpodetexto"/>
      </w:pPr>
    </w:p>
    <w:p>
      <w:r>
        <w:pict>
          <v:rect style="width:0;height:1.5pt" o:hralign="center" o:hrstd="t" o:hr="t"/>
        </w:pict>
      </w:r>
    </w:p>
    <w:p>
      <w:pPr>
        <w:pStyle w:val="FirstParagraph"/>
      </w:pPr>
      <w:r>
        <w:rPr>
          <w:b/>
          <w:bCs/>
        </w:rPr>
        <w:t xml:space="preserve">Última atualização</w:t>
      </w:r>
      <w:r>
        <w:t xml:space="preserve">:</w:t>
      </w:r>
      <w:r>
        <w:t xml:space="preserve"> </w:t>
      </w:r>
      <w:r>
        <w:rPr>
          <w:rStyle w:val="VerbatimChar"/>
        </w:rPr>
        <w:t xml:space="preserve">r Sys.Date()</w:t>
      </w:r>
    </w:p>
    <w:bookmarkEnd w:id="20"/>
    <w:bookmarkStart w:id="21" w:name="introdução"/>
    <w:p>
      <w:pPr>
        <w:pStyle w:val="Ttulo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w:t>
      </w:r>
      <w:r>
        <w:t xml:space="preserve"> </w:t>
      </w:r>
      <w:r>
        <w:t xml:space="preserve">Isso resulta na diminuição dos estoques nutricionais coomo nitrogênio (N) e fósforo (P), comprometendo a resiliência do solo e a ciclagem de nutrientes em longo prazo</w:t>
      </w:r>
      <w:r>
        <w:t xml:space="preserve"> </w:t>
      </w:r>
      <w:r>
        <w:t xml:space="preserve">(Tivet et al., 2013, Silva et al., 2022, Wang et al., 2023)</w:t>
      </w:r>
      <w:r>
        <w:t xml:space="preserve">. Tais mudanças são particularmente evidentes no bioma Cerrado, onde a intensificação do uso da terra tem levado à degradação da funcionalidade edáfica</w:t>
      </w:r>
      <w:r>
        <w:t xml:space="preserve"> </w:t>
      </w:r>
      <w:r>
        <w:t xml:space="preserve">(Strassburg et al., 2017, Sousa et al., 2021)</w:t>
      </w:r>
      <w:r>
        <w:t xml:space="preserve">.</w:t>
      </w:r>
    </w:p>
    <w:p>
      <w:pPr>
        <w:pStyle w:val="Corpodetexto"/>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w:t>
      </w:r>
    </w:p>
    <w:p>
      <w:pPr>
        <w:pStyle w:val="Corpodetexto"/>
      </w:pPr>
      <w:r>
        <w:t xml:space="preserve">Esse contexto edafológico específico torna ainda mais relevante a compreensão dos mecanismos de acoplamento biogeoquímico entre N e P, uma vez que as limitações nutricionais naturais desses solos amplificam os efeitos das perturbações antrópicas sobre os ciclos biogeoquímicos</w:t>
      </w:r>
      <w:r>
        <w:t xml:space="preserve"> </w:t>
      </w:r>
      <w:r>
        <w:t xml:space="preserve">(Chen et al., 2025)</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(Stevenson, 1994, Helfenstein et al., 2020)</w:t>
      </w:r>
      <w:r>
        <w:t xml:space="preserve">.</w:t>
      </w:r>
    </w:p>
    <w:p>
      <w:pPr>
        <w:pStyle w:val="Corpodetexto"/>
      </w:pPr>
      <w:r>
        <w:t xml:space="preserve">Nos últimos anos, tem-se intensificado o interesse científico em compreender o acoplamento biogeoquímico entre N e P, isto é, como suas formas lábeis e húmicas interagem e se co-estabilizam na Matéria Organica do SOlo (MOS)</w:t>
      </w:r>
      <w:r>
        <w:t xml:space="preserve"> </w:t>
      </w:r>
      <w:r>
        <w:t xml:space="preserve">(Schaap et al., 2023, Pang et al., 2025)</w:t>
      </w:r>
      <w:r>
        <w:t xml:space="preserve">. Evidências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w:t>
      </w:r>
    </w:p>
    <w:p>
      <w:pPr>
        <w:pStyle w:val="Corpodetexto"/>
      </w:pPr>
      <w:r>
        <w:t xml:space="preserve">Esse acoplamento manifesta-se através da incorporação simultânea de N e P na biomassa microbiana durante a decomposição de resíduos vegetais, com subsequente liberação sincronizada mediante lise celular</w:t>
      </w:r>
      <w:r>
        <w:t xml:space="preserve"> </w:t>
      </w:r>
      <w:r>
        <w:t xml:space="preserve">(Fanin et al., 2016, Celi et al., 2022)</w:t>
      </w:r>
      <w:r>
        <w:t xml:space="preserve">.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w:t>
      </w:r>
      <w:r>
        <w:t xml:space="preserve"> </w:t>
      </w:r>
      <w:r>
        <w:t xml:space="preserve">(Cao et al., 2016, Gao et al., 2017)</w:t>
      </w:r>
      <w:r>
        <w:t xml:space="preserve">.</w:t>
      </w:r>
    </w:p>
    <w:p>
      <w:pPr>
        <w:pStyle w:val="Corpodetexto"/>
      </w:pPr>
      <w:r>
        <w:t xml:space="preserve">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w:t>
      </w:r>
      <w:r>
        <w:t xml:space="preserve"> </w:t>
      </w:r>
      <w:r>
        <w:t xml:space="preserve">(Jindo et al., 2023)</w:t>
      </w:r>
      <w:r>
        <w:t xml:space="preserve">. Esse acoplamento implica que perturbações no ciclo de um nutriente, criando desbalanços estequiométricos que podem comprometer a eficiência de uso de nutrientes e a estabilidade da MOS</w:t>
      </w:r>
      <w:r>
        <w:t xml:space="preserve"> </w:t>
      </w:r>
      <w:r>
        <w:t xml:space="preserve">(Gerke, 2024)</w:t>
      </w:r>
      <w:r>
        <w:t xml:space="preserve">.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Corpodetexto"/>
      </w:pPr>
      <w:r>
        <w:t xml:space="preserve">Modelos analíticos avançados, como a modelagem por equações estruturais baseada em mínimos quadrados parciais (PLS-SEM), oferecem novas oportunidades para compreender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(Mamdani, 1977, Lima et al., 2023)</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Corpodetexto"/>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2013, Cotrufo et al., 2019)</w:t>
      </w:r>
      <w:r>
        <w:t xml:space="preserve">. Assim, avaliar como as pressões antrópicas alteram essa relação é essencial para estimar a capacidade do solo de sustentar funções ecológicas críticas e resistir à degradação.</w:t>
      </w:r>
    </w:p>
    <w:p>
      <w:pPr>
        <w:pStyle w:val="Corpodetexto"/>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Corpodetexto"/>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1"/>
    <w:bookmarkStart w:id="61" w:name="metodologia"/>
    <w:p>
      <w:pPr>
        <w:pStyle w:val="Ttulo1"/>
      </w:pPr>
      <w:r>
        <w:t xml:space="preserve">2. Metodologia</w:t>
      </w:r>
    </w:p>
    <w:bookmarkStart w:id="26" w:name="área-de-estudo"/>
    <w:p>
      <w:pPr>
        <w:pStyle w:val="Ttulo2"/>
      </w:pPr>
      <w:r>
        <w:t xml:space="preserve">2.1 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25" w:name="fig:1"/>
    <w:p>
      <w:pPr>
        <w:pStyle w:val="CaptionedFigure"/>
      </w:pPr>
      <w:r>
        <w:drawing>
          <wp:inline>
            <wp:extent cx="3920490" cy="2717015"/>
            <wp:effectExtent b="0" l="0" r="0" t="0"/>
            <wp:docPr descr="Figura 1. Localização das áreas experimentais" title="" id="23" name="Picture"/>
            <a:graphic>
              <a:graphicData uri="http://schemas.openxmlformats.org/drawingml/2006/picture">
                <pic:pic>
                  <pic:nvPicPr>
                    <pic:cNvPr descr="chapters/../figures/mapa_area.png" id="24" name="Picture"/>
                    <pic:cNvPicPr>
                      <a:picLocks noChangeArrowheads="1" noChangeAspect="1"/>
                    </pic:cNvPicPr>
                  </pic:nvPicPr>
                  <pic:blipFill>
                    <a:blip r:embed="rId22"/>
                    <a:stretch>
                      <a:fillRect/>
                    </a:stretch>
                  </pic:blipFill>
                  <pic:spPr bwMode="auto">
                    <a:xfrm>
                      <a:off x="0" y="0"/>
                      <a:ext cx="3920490" cy="2717015"/>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25"/>
    <w:p>
      <w:pPr>
        <w:pStyle w:val="Corpodetexto"/>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(Cho et al.,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(Lopes &amp; Guilherme, 1996, Ker, 1997)</w:t>
      </w:r>
      <w:r>
        <w:t xml:space="preserve">.</w:t>
      </w:r>
    </w:p>
    <w:bookmarkEnd w:id="26"/>
    <w:bookmarkStart w:id="42" w:name="características-das-áreas-de-estudo"/>
    <w:p>
      <w:pPr>
        <w:pStyle w:val="Ttulo2"/>
      </w:pPr>
      <w:r>
        <w:t xml:space="preserve">2.2 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 Sano et al., 2019)</w:t>
      </w:r>
      <w:r>
        <w:t xml:space="preserve">.</w:t>
      </w:r>
    </w:p>
    <w:p>
      <w:pPr>
        <w:pStyle w:val="Corpodetexto"/>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28" name="Picture"/>
                  <a:graphic>
                    <a:graphicData uri="http://schemas.openxmlformats.org/drawingml/2006/picture">
                      <pic:pic>
                        <pic:nvPicPr>
                          <pic:cNvPr descr="chapters/../figures/cerrado.jpg" id="29" name="Picture"/>
                          <pic:cNvPicPr>
                            <a:picLocks noChangeArrowheads="1" noChangeAspect="1"/>
                          </pic:cNvPicPr>
                        </pic:nvPicPr>
                        <pic:blipFill>
                          <a:blip r:embed="rId27"/>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3810000" cy="2540000"/>
                  <wp:effectExtent b="0" l="0" r="0" t="0"/>
                  <wp:docPr descr="" title="" id="31" name="Picture"/>
                  <a:graphic>
                    <a:graphicData uri="http://schemas.openxmlformats.org/drawingml/2006/picture">
                      <pic:pic>
                        <pic:nvPicPr>
                          <pic:cNvPr descr="chapters/../figures/eucalipto.jp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34" name="Picture"/>
                  <a:graphic>
                    <a:graphicData uri="http://schemas.openxmlformats.org/drawingml/2006/picture">
                      <pic:pic>
                        <pic:nvPicPr>
                          <pic:cNvPr descr="chapters/../figures/mogno.jpg" id="35" name="Picture"/>
                          <pic:cNvPicPr>
                            <a:picLocks noChangeArrowheads="1" noChangeAspect="1"/>
                          </pic:cNvPicPr>
                        </pic:nvPicPr>
                        <pic:blipFill>
                          <a:blip r:embed="rId33"/>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3810000" cy="2540000"/>
                  <wp:effectExtent b="0" l="0" r="0" t="0"/>
                  <wp:docPr descr="" title="" id="37" name="Picture"/>
                  <a:graphic>
                    <a:graphicData uri="http://schemas.openxmlformats.org/drawingml/2006/picture">
                      <pic:pic>
                        <pic:nvPicPr>
                          <pic:cNvPr descr="chapters/../figures/teca.jpg"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tc>
        <w:tc>
          <w:tcPr/>
          <w:p>
            <w:pPr>
              <w:pStyle w:val="Compact"/>
              <w:jc w:val="center"/>
            </w:pPr>
            <w:r>
              <w:drawing>
                <wp:inline>
                  <wp:extent cx="3810000" cy="2540000"/>
                  <wp:effectExtent b="0" l="0" r="0" t="0"/>
                  <wp:docPr descr="" title="" id="40" name="Picture"/>
                  <a:graphic>
                    <a:graphicData uri="http://schemas.openxmlformats.org/drawingml/2006/picture">
                      <pic:pic>
                        <pic:nvPicPr>
                          <pic:cNvPr descr="chapters/../figures/agricultura.jp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tc>
        <w:tc>
          <w:tcPr/>
          <w:p>
            <w:pPr>
              <w:pStyle w:val="Compact"/>
            </w:pPr>
          </w:p>
        </w:tc>
      </w:tr>
    </w:tbl>
    <w:p>
      <w:pPr>
        <w:pStyle w:val="Corpodetexto"/>
      </w:pPr>
      <w:r>
        <w:t xml:space="preserve">Um inventario foi realizado e calculado os parâmetros fitossociológicos: Densidade Relativa - DR, Dominância Relativa - DMR, Frequência Relativa – FR e Índice de Valor de Importância - IVI</w:t>
      </w:r>
      <w:r>
        <w:t xml:space="preserve"> </w:t>
      </w:r>
      <w:r>
        <w:t xml:space="preserve">(Queiroz et al., 2017)</w:t>
      </w:r>
      <w:r>
        <w:t xml:space="preserve"> </w:t>
      </w:r>
      <w:r>
        <w:t xml:space="preserve">(Apêndice A).</w:t>
      </w:r>
    </w:p>
    <w:p>
      <w:pPr>
        <w:pStyle w:val="Corpodetexto"/>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(Verai et al., 2022)</w:t>
      </w:r>
      <w:r>
        <w:t xml:space="preserve">.</w:t>
      </w:r>
    </w:p>
    <w:p>
      <w:pPr>
        <w:pStyle w:val="Corpodetexto"/>
      </w:pP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(Almeida et al., 2024)</w:t>
      </w:r>
      <w:r>
        <w:t xml:space="preserve">. No que tange ao processo de alinhamento e esquadrejamento das mudas, optou-se pela utilização do método do Triangulo Reto (3/4/5) com auxílio de baliza e trena</w:t>
      </w:r>
      <w:r>
        <w:t xml:space="preserve"> </w:t>
      </w:r>
      <w:r>
        <w:t xml:space="preserve">(Verai et al., 2022)</w:t>
      </w:r>
      <w:r>
        <w:t xml:space="preserve">.</w:t>
      </w:r>
    </w:p>
    <w:p>
      <w:pPr>
        <w:pStyle w:val="Corpodetexto"/>
      </w:pPr>
      <w:r>
        <w:t xml:space="preserve">Já o plantio de Mogno Africano (</w:t>
      </w:r>
      <w:r>
        <w:rPr>
          <w:b/>
          <w:b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p>
    <w:p>
      <w:pPr>
        <w:pStyle w:val="Corpodetexto"/>
      </w:pPr>
      <w:r>
        <w:t xml:space="preserve">O Plantio de Teca (</w:t>
      </w:r>
      <w:r>
        <w:rPr>
          <w:b/>
          <w:bCs/>
        </w:rPr>
        <w:t xml:space="preserve">Tectona grandis</w:t>
      </w:r>
      <w:r>
        <w:t xml:space="preserve">) possui uma área total de 1,12 ha, com dez anos de idade, localizado nas coordenadas 11°54’22’’S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Corpodetexto"/>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(Moreira et al., 2021)</w:t>
      </w:r>
      <w:r>
        <w:t xml:space="preserve">.</w:t>
      </w:r>
    </w:p>
    <w:p>
      <w:pPr>
        <w:pStyle w:val="Corpodetexto"/>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(Machado et al., 2024)</w:t>
      </w:r>
      <w:r>
        <w:t xml:space="preserve">.</w:t>
      </w:r>
    </w:p>
    <w:p>
      <w:pPr>
        <w:pStyle w:val="Corpodetexto"/>
      </w:pP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(Eckardt et al., 2021)</w:t>
      </w:r>
      <w:r>
        <w:t xml:space="preserve">.</w:t>
      </w:r>
    </w:p>
    <w:bookmarkEnd w:id="42"/>
    <w:bookmarkStart w:id="53" w:name="amostragem-de-solo"/>
    <w:p>
      <w:pPr>
        <w:pStyle w:val="Ttulo2"/>
      </w:pPr>
      <w:r>
        <w:t xml:space="preserve">2.3 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44" name="Picture"/>
            <a:graphic>
              <a:graphicData uri="http://schemas.openxmlformats.org/drawingml/2006/picture">
                <pic:pic>
                  <pic:nvPicPr>
                    <pic:cNvPr descr="chapters/../figures/trincheira.png" id="45" name="Picture"/>
                    <pic:cNvPicPr>
                      <a:picLocks noChangeArrowheads="1" noChangeAspect="1"/>
                    </pic:cNvPicPr>
                  </pic:nvPicPr>
                  <pic:blipFill>
                    <a:blip r:embed="rId43"/>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Corpodetexto"/>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p>
    <w:bookmarkStart w:id="46" w:name="análises-físicas"/>
    <w:p>
      <w:pPr>
        <w:pStyle w:val="Ttulo3"/>
      </w:pPr>
      <w:r>
        <w:t xml:space="preserve">2.3.1 Análises físicas</w:t>
      </w:r>
    </w:p>
    <w:p>
      <w:pPr>
        <w:pStyle w:val="FirstParagraph"/>
      </w:pPr>
      <w:r>
        <w:t xml:space="preserve">A determinação da distribuição dos tamanhos das partículas do solo foi realizada em amostras deformadas por meio do método da pipeta</w:t>
      </w:r>
      <w:r>
        <w:t xml:space="preserve"> </w:t>
      </w:r>
      <w:r>
        <w:t xml:space="preserve">(Teixeira et al., 2017)</w:t>
      </w:r>
      <w:r>
        <w:t xml:space="preserve"> </w:t>
      </w:r>
      <w:r>
        <w:t xml:space="preserve">(TABELA 2). A determinação da densidade do solo foi realizada por meio do método do cilindro volumétrico, conforme descrito por</w:t>
      </w:r>
      <w:r>
        <w:t xml:space="preserve"> </w:t>
      </w:r>
      <w:r>
        <w:t xml:space="preserve">Teixeira et al. (2017)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End w:id="46"/>
    <w:bookmarkStart w:id="50" w:name="análises-químicas"/>
    <w:p>
      <w:pPr>
        <w:pStyle w:val="Ttulo3"/>
      </w:pPr>
      <w:r>
        <w:t xml:space="preserve">2.3.2 Análises químicas</w:t>
      </w:r>
    </w:p>
    <w:bookmarkStart w:id="47" w:name="determinação-do-fósforo-total-no-solo"/>
    <w:p>
      <w:pPr>
        <w:pStyle w:val="Ttulo4"/>
      </w:pPr>
      <w:r>
        <w:t xml:space="preserve">2.3.2.1 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47"/>
    <w:bookmarkStart w:id="48" w:name="Xecda8a82852bede99bd80438476c9877349334f"/>
    <w:p>
      <w:pPr>
        <w:pStyle w:val="Ttulo4"/>
      </w:pPr>
      <w:r>
        <w:t xml:space="preserve">2.3.2.2 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48"/>
    <w:bookmarkStart w:id="49" w:name="determinação-dos-estoques-de-fósforo"/>
    <w:p>
      <w:pPr>
        <w:pStyle w:val="Ttulo4"/>
      </w:pPr>
      <w:r>
        <w:t xml:space="preserve">2.3.2.3 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p>
    <w:p>
      <w:pPr>
        <w:pStyle w:val="Corpodetexto"/>
      </w:pPr>
      <m:oMathPara>
        <m:oMathParaPr>
          <m:jc m:val="center"/>
        </m:oMathParaPr>
        <m:oMath>
          <m:r>
            <m:rPr>
              <m:nor/>
              <m:sty m:val="p"/>
            </m:rPr>
            <m:t>EstP</m:t>
          </m:r>
          <m:r>
            <m:rPr>
              <m:sty m:val="p"/>
            </m:rPr>
            <m:t>=</m:t>
          </m:r>
          <m:r>
            <m:rPr>
              <m:nor/>
              <m:sty m:val="p"/>
            </m:rPr>
            <m:t>TP</m:t>
          </m:r>
          <m:r>
            <m:rPr>
              <m:sty m:val="p"/>
            </m:rPr>
            <m:t>×</m:t>
          </m:r>
          <m:r>
            <m:rPr>
              <m:nor/>
              <m:sty m:val="p"/>
            </m:rPr>
            <m:t>Ds</m:t>
          </m:r>
          <m:r>
            <m:rPr>
              <m:sty m:val="p"/>
            </m:rPr>
            <m:t>×</m:t>
          </m:r>
          <m:r>
            <m:t>e</m:t>
          </m:r>
        </m:oMath>
      </m:oMathPara>
    </w:p>
    <w:p>
      <w:pPr>
        <w:pStyle w:val="FirstParagraph"/>
      </w:pPr>
      <w:r>
        <w:t xml:space="preserve">Em que:</w:t>
      </w:r>
      <w:r>
        <w:t xml:space="preserve"> </w:t>
      </w:r>
      <w:r>
        <w:t xml:space="preserve">- EstP = Estoque de P na camada do solo, em Mg ha⁻¹;</w:t>
      </w:r>
      <w:r>
        <w:t xml:space="preserve"> </w:t>
      </w:r>
      <w:r>
        <w:t xml:space="preserve">- TP = Teor de P na fração amostrada de solo, em g kg⁻¹;</w:t>
      </w:r>
      <w:r>
        <w:t xml:space="preserve"> </w:t>
      </w:r>
      <w:r>
        <w:t xml:space="preserve">- Ds = Densidade do solo, em g cm⁻³;</w:t>
      </w:r>
      <w:r>
        <w:t xml:space="preserve"> </w:t>
      </w:r>
      <w:r>
        <w:t xml:space="preserve">- e = espessura da camada, em cm.</w:t>
      </w:r>
    </w:p>
    <w:p>
      <w:pPr>
        <w:pStyle w:val="Corpodetexto"/>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49"/>
    <w:bookmarkEnd w:id="50"/>
    <w:bookmarkStart w:id="51" w:name="determinação-do-nitrogênio-total-no-solo"/>
    <w:p>
      <w:pPr>
        <w:pStyle w:val="Ttulo3"/>
      </w:pPr>
      <w:r>
        <w:t xml:space="preserve">2.3.3 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1"/>
    <w:bookmarkStart w:id="52" w:name="X16760ac3e484c0e15b144a4605b607e33bea118"/>
    <w:p>
      <w:pPr>
        <w:pStyle w:val="Ttulo3"/>
      </w:pPr>
      <w:r>
        <w:t xml:space="preserve">2.3.4 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r>
        <w:t xml:space="preserve"> </w:t>
      </w: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pPr>
        <w:pStyle w:val="Corpodetexto"/>
      </w:pPr>
      <w:r>
        <w:t xml:space="preserve">2.3.5 Determinação dos estoques de Nitrogênio</w:t>
      </w:r>
      <w:r>
        <w:t xml:space="preserve"> </w:t>
      </w:r>
      <w:r>
        <w:t xml:space="preserve">Após a obter os teores de N pelos métodos citados anteriormente, foi realizada a determinação do estoque N no solo e nas frações húmicas em Mg ha⁻¹, em cada profundidade amostrada, conforme a equação (Equação 2) a seguir:</w:t>
      </w:r>
    </w:p>
    <w:p>
      <w:pPr>
        <w:pStyle w:val="Corpodetexto"/>
      </w:pPr>
      <m:oMathPara>
        <m:oMathParaPr>
          <m:jc m:val="center"/>
        </m:oMathParaPr>
        <m:oMath>
          <m:r>
            <m:rPr>
              <m:nor/>
              <m:sty m:val="p"/>
            </m:rPr>
            <m:t>Est(N)</m:t>
          </m:r>
          <m:r>
            <m:rPr>
              <m:sty m:val="p"/>
            </m:rPr>
            <m:t>=</m:t>
          </m:r>
          <m:r>
            <m:rPr>
              <m:nor/>
              <m:sty m:val="p"/>
            </m:rPr>
            <m:t>TN</m:t>
          </m:r>
          <m:r>
            <m:rPr>
              <m:sty m:val="p"/>
            </m:rPr>
            <m:t>×</m:t>
          </m:r>
          <m:r>
            <m:rPr>
              <m:nor/>
              <m:sty m:val="p"/>
            </m:rPr>
            <m:t>Ds</m:t>
          </m:r>
          <m:r>
            <m:rPr>
              <m:sty m:val="p"/>
            </m:rPr>
            <m:t>×</m:t>
          </m:r>
          <m:r>
            <m:t>e</m:t>
          </m:r>
        </m:oMath>
      </m:oMathPara>
    </w:p>
    <w:p>
      <w:pPr>
        <w:pStyle w:val="FirstParagraph"/>
      </w:pPr>
      <w:r>
        <w:t xml:space="preserve">Em que:</w:t>
      </w:r>
      <w:r>
        <w:t xml:space="preserve"> </w:t>
      </w:r>
      <w:r>
        <w:t xml:space="preserve">- Est(N) = Estoque de N na camada do solo, em Mg ha⁻¹;</w:t>
      </w:r>
      <w:r>
        <w:t xml:space="preserve"> </w:t>
      </w:r>
      <w:r>
        <w:t xml:space="preserve">- TN = Teor de N na fração amostrada de solo, em g kg⁻¹;</w:t>
      </w:r>
      <w:r>
        <w:t xml:space="preserve"> </w:t>
      </w:r>
      <w:r>
        <w:t xml:space="preserve">- Ds = Densidade do solo, em g cm⁻³;</w:t>
      </w:r>
      <w:r>
        <w:t xml:space="preserve"> </w:t>
      </w:r>
      <w:r>
        <w:t xml:space="preserve">-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p>
      <w:pPr>
        <w:pStyle w:val="Corpodetexto"/>
      </w:pPr>
      <w:r>
        <w:t xml:space="preserve">Est(N)= TN</w:t>
      </w:r>
      <w:r>
        <w:rPr>
          <w:i/>
          <w:iCs/>
        </w:rPr>
        <w:t xml:space="preserve">Ds</w:t>
      </w:r>
      <w:r>
        <w:t xml:space="preserve">e</w:t>
      </w:r>
    </w:p>
    <w:p>
      <w:pPr>
        <w:pStyle w:val="Corpodetexto"/>
      </w:pP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Corpodetexto"/>
      </w:pP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2"/>
    <w:bookmarkEnd w:id="53"/>
    <w:bookmarkStart w:id="55" w:name="análises-estatísticas"/>
    <w:p>
      <w:pPr>
        <w:pStyle w:val="Ttulo2"/>
      </w:pPr>
      <w:r>
        <w:t xml:space="preserve">2.4 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54" w:name="Xf524f42d386d26ec44b1e85c644b9bb475bd9f9"/>
    <w:p>
      <w:pPr>
        <w:pStyle w:val="Ttulo3"/>
      </w:pPr>
      <w:r>
        <w:t xml:space="preserve">2.4.1 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Corpodetexto"/>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Corpodetexto"/>
      </w:pPr>
      <w:r>
        <w:t xml:space="preserve">A análise foi conduzida no ambiente R</w:t>
      </w:r>
      <w:r>
        <w:t xml:space="preserve"> </w:t>
      </w:r>
      <w:r>
        <w:t xml:space="preserve">(R Core Team, 2024)</w:t>
      </w:r>
      <w:r>
        <w:t xml:space="preserve">, utilizando o pacote</w:t>
      </w:r>
      <w:r>
        <w:t xml:space="preserve"> </w:t>
      </w:r>
      <w:r>
        <w:rPr>
          <w:rStyle w:val="VerbatimChar"/>
        </w:rPr>
        <w:t xml:space="preserve">pls</w:t>
      </w:r>
      <w:r>
        <w:t xml:space="preserve"> </w:t>
      </w:r>
      <w:r>
        <w:t xml:space="preserve">(Mevik &amp; Wehrens, 2007)</w:t>
      </w:r>
      <w:r>
        <w:t xml:space="preserve">.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Corpodetexto"/>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54"/>
    <w:bookmarkEnd w:id="55"/>
    <w:bookmarkStart w:id="60" w:name="modelagem-proposta"/>
    <w:p>
      <w:pPr>
        <w:pStyle w:val="Ttulo2"/>
      </w:pPr>
      <w:r>
        <w:t xml:space="preserve">2.5 Modelagem Proposta</w:t>
      </w:r>
    </w:p>
    <w:p>
      <w:pPr>
        <w:pStyle w:val="FirstParagraph"/>
      </w:pPr>
      <w:r>
        <w:t xml:space="preserve">O funcionamento biogeoquímico do solo, com ênfase na dinâmica funcional dos elementos nitrogênio (N) e fósforo (P) e na integração de suas formas lábeis e húmicas aos estoques totais, foi avaliado por meio de uma abordagem metodológica dupla. Inicialmente, a Modelagem por Equações Estruturais com Mínimos Quadrados Parciais (PLS-SEM) foi empregada para explicitar as relações causais entre os construtos latentes (frações lábeis e húmicas de N e P) e os estoques totais de nutrientes, fornecendo uma visão estrutural da dinâmica edáfica.</w:t>
      </w:r>
    </w:p>
    <w:p>
      <w:pPr>
        <w:pStyle w:val="Corpodetexto"/>
      </w:pPr>
      <w:r>
        <w:t xml:space="preserve">Em paralelo, foi desenvolvido o Índice Fuzzy de Sustentação Nutricional (FSNSI), baseado em um sistema de inferência fuzzy do tipo Mamdani, com o objetivo de sintetizar o desempenho funcional do solo em um índice único. As variáveis de entrada decisórias para o FSNSI foram os estoques totais de N e P, e a Densidade do Solo (Ds), esta última incorporada como variável penalizadora do índice. A Ds foi tratada com normalização invertida na escala fuzzy [0-10], assumindo que valores mais elevados refletem condições físicas menos favoráveis e, portanto, amplificam o impacto negativo dessa limitação no valor final do FSNSI. O sistema fuzzy foi estruturado com a normalização conservadora das variáveis de entrada, a definição de funções de pertinência triangulares e regras linguísticas baseadas em conhecimento especializado, e a defuzzificação dos valores por meio do método do centróide.</w:t>
      </w:r>
    </w:p>
    <w:p>
      <w:pPr>
        <w:pStyle w:val="Corpodetexto"/>
      </w:pPr>
      <w:r>
        <w:t xml:space="preserve">Adicionalmente, as frações granulométricas do solo (areia, silte e argila) foram introduzidas no processo analítico como covariáveis de controle. Embora não tenham sido entradas diretas no sistema fuzzy, sua análise paralela permitiu mitigar o viés potencial decorrente de diferenças texturais naturais entre os ambientes avaliados, assegurando que as respostas funcionais observadas fossem predominantemente atribuídas ao uso e manejo do solo, e não à sua classe textural de origem</w:t>
      </w:r>
    </w:p>
    <w:bookmarkStart w:id="56" w:name="normalização-das-variáveis"/>
    <w:p>
      <w:pPr>
        <w:pStyle w:val="Ttulo4"/>
      </w:pPr>
      <w:r>
        <w:t xml:space="preserve">2.5.0.1 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p>
    <w:p>
      <w:pPr>
        <w:pStyle w:val="Corpodetexto"/>
      </w:pPr>
      <w:r>
        <w:rPr>
          <w:b/>
          <w:bCs/>
        </w:rPr>
        <w:t xml:space="preserve">Equação 1 (Normalização direta):</w:t>
      </w:r>
    </w:p>
    <w:p>
      <w:pPr>
        <w:pStyle w:val="Corpodetexto"/>
      </w:pPr>
      <m:oMathPara>
        <m:oMathParaPr>
          <m:jc m:val="center"/>
        </m:oMathParaPr>
        <m:oMath>
          <m:sSub>
            <m:e>
              <m:r>
                <m:t>x</m:t>
              </m:r>
            </m:e>
            <m:sub>
              <m:r>
                <m:rPr>
                  <m:nor/>
                  <m:sty m:val="p"/>
                </m:rPr>
                <m:t>norm</m:t>
              </m:r>
            </m:sub>
          </m:sSub>
          <m:r>
            <m:rPr>
              <m:sty m:val="p"/>
            </m:rPr>
            <m:t>=</m:t>
          </m:r>
          <m:r>
            <m:t>10</m:t>
          </m:r>
          <m:r>
            <m:rPr>
              <m:sty m:val="p"/>
            </m:rPr>
            <m:t>×</m:t>
          </m:r>
          <m:f>
            <m:fPr>
              <m:type m:val="bar"/>
            </m:fPr>
            <m:num>
              <m:r>
                <m:t>x</m:t>
              </m:r>
              <m:r>
                <m:rPr>
                  <m:sty m:val="p"/>
                </m:rPr>
                <m:t>−</m:t>
              </m:r>
              <m:sSub>
                <m:e>
                  <m:r>
                    <m:t>x</m:t>
                  </m:r>
                </m:e>
                <m:sub>
                  <m:r>
                    <m:rPr>
                      <m:sty m:val="p"/>
                    </m:rPr>
                    <m:t>min</m:t>
                  </m:r>
                </m:sub>
              </m:sSub>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d>
            <m:dPr>
              <m:begChr m:val="["/>
              <m:sepChr m:val=""/>
              <m:endChr m:val="]"/>
              <m:grow/>
            </m:dPr>
            <m:e>
              <m:sSub>
                <m:e>
                  <m:r>
                    <m:t>x</m:t>
                  </m:r>
                </m:e>
                <m:sub>
                  <m:r>
                    <m:rPr>
                      <m:sty m:val="p"/>
                    </m:rPr>
                    <m:t>min</m:t>
                  </m:r>
                </m:sub>
              </m:sSub>
              <m:r>
                <m:rPr>
                  <m:sty m:val="p"/>
                </m:rPr>
                <m:t>,</m:t>
              </m:r>
              <m:sSub>
                <m:e>
                  <m:r>
                    <m:t>x</m:t>
                  </m:r>
                </m:e>
                <m:sub>
                  <m:r>
                    <m:rPr>
                      <m:sty m:val="p"/>
                    </m:rPr>
                    <m:t>max</m:t>
                  </m:r>
                </m:sub>
              </m:sSub>
            </m:e>
          </m:d>
        </m:oMath>
      </m:oMathPara>
    </w:p>
    <w:p>
      <w:pPr>
        <w:pStyle w:val="FirstParagraph"/>
      </w:pPr>
      <w:r>
        <w:t xml:space="preserve">Em que:</w:t>
      </w:r>
      <w:r>
        <w:t xml:space="preserve"> </w:t>
      </w:r>
      <w:r>
        <w:t xml:space="preserve">-</w:t>
      </w:r>
      <w:r>
        <w:t xml:space="preserve"> </w:t>
      </w:r>
      <m:oMath>
        <m:r>
          <m:t>x</m:t>
        </m:r>
      </m:oMath>
      <w:r>
        <w:t xml:space="preserve">: valor original da variável</w:t>
      </w:r>
      <w:r>
        <w:t xml:space="preserve"> </w:t>
      </w:r>
      <w:r>
        <w:t xml:space="preserve">-</w:t>
      </w:r>
      <w:r>
        <w:t xml:space="preserve"> </w:t>
      </w:r>
      <m:oMath>
        <m:sSub>
          <m:e>
            <m:r>
              <m:t>x</m:t>
            </m:r>
          </m:e>
          <m:sub>
            <m:r>
              <m:rPr>
                <m:sty m:val="p"/>
              </m:rPr>
              <m:t>min</m:t>
            </m:r>
          </m:sub>
        </m:sSub>
      </m:oMath>
      <w:r>
        <w:t xml:space="preserve">: menor valor observado da variável</w:t>
      </w:r>
      <w:r>
        <w:t xml:space="preserve"> </w:t>
      </w:r>
      <m:oMath>
        <m:r>
          <m:t>x</m:t>
        </m:r>
      </m:oMath>
      <w:r>
        <w:t xml:space="preserve"> </w:t>
      </w:r>
      <w:r>
        <w:t xml:space="preserve">-</w:t>
      </w:r>
      <w:r>
        <w:t xml:space="preserve"> </w:t>
      </w:r>
      <m:oMath>
        <m:sSub>
          <m:e>
            <m:r>
              <m:t>x</m:t>
            </m:r>
          </m:e>
          <m:sub>
            <m:r>
              <m:rPr>
                <m:sty m:val="p"/>
              </m:rPr>
              <m:t>max</m:t>
            </m:r>
          </m:sub>
        </m:sSub>
      </m:oMath>
      <w:r>
        <w:t xml:space="preserve">: maior valor observado da variável</w:t>
      </w:r>
      <w:r>
        <w:t xml:space="preserve"> </w:t>
      </w:r>
      <m:oMath>
        <m:r>
          <m:t>x</m:t>
        </m:r>
      </m:oMath>
      <w:r>
        <w:t xml:space="preserve"> </w:t>
      </w:r>
      <w:r>
        <w:t xml:space="preserve">-</w:t>
      </w:r>
      <w:r>
        <w:t xml:space="preserve"> </w:t>
      </w:r>
      <m:oMath>
        <m:sSub>
          <m:e>
            <m:r>
              <m:t>x</m:t>
            </m:r>
          </m:e>
          <m:sub>
            <m:r>
              <m:rPr>
                <m:nor/>
                <m:sty m:val="p"/>
              </m:rPr>
              <m:t>norm</m:t>
            </m:r>
          </m:sub>
        </m:sSub>
      </m:oMath>
      <w:r>
        <w:t xml:space="preserve">: valor normalizado na escala de 0 a 10</w:t>
      </w:r>
    </w:p>
    <w:p>
      <w:pPr>
        <w:pStyle w:val="Corpodetexto"/>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Corpodetexto"/>
      </w:pPr>
      <w:r>
        <w:rPr>
          <w:b/>
          <w:bCs/>
        </w:rPr>
        <w:t xml:space="preserve">Equação 2 (Normalização invertida):</w:t>
      </w:r>
    </w:p>
    <w:p>
      <w:pPr>
        <w:pStyle w:val="Corpodetexto"/>
      </w:pPr>
      <m:oMathPara>
        <m:oMathParaPr>
          <m:jc m:val="center"/>
        </m:oMathParaPr>
        <m:oMath>
          <m:sSub>
            <m:e>
              <m:r>
                <m:t>x</m:t>
              </m:r>
            </m:e>
            <m:sub>
              <m:r>
                <m:rPr>
                  <m:nor/>
                  <m:sty m:val="p"/>
                </m:rPr>
                <m:t>norm</m:t>
              </m:r>
            </m:sub>
          </m:sSub>
          <m:r>
            <m:rPr>
              <m:sty m:val="p"/>
            </m:rPr>
            <m:t>=</m:t>
          </m:r>
          <m:r>
            <m:t>10</m:t>
          </m:r>
          <m:r>
            <m:rPr>
              <m:sty m:val="p"/>
            </m:rPr>
            <m:t>×</m:t>
          </m:r>
          <m:f>
            <m:fPr>
              <m:type m:val="bar"/>
            </m:fPr>
            <m:num>
              <m:sSub>
                <m:e>
                  <m:r>
                    <m:t>x</m:t>
                  </m:r>
                </m:e>
                <m:sub>
                  <m:r>
                    <m:rPr>
                      <m:sty m:val="p"/>
                    </m:rPr>
                    <m:t>max</m:t>
                  </m:r>
                </m:sub>
              </m:sSub>
              <m:r>
                <m:rPr>
                  <m:sty m:val="p"/>
                </m:rPr>
                <m:t>−</m:t>
              </m:r>
              <m:r>
                <m:t>x</m:t>
              </m:r>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d>
            <m:dPr>
              <m:begChr m:val="["/>
              <m:sepChr m:val=""/>
              <m:endChr m:val="]"/>
              <m:grow/>
            </m:dPr>
            <m:e>
              <m:sSub>
                <m:e>
                  <m:r>
                    <m:t>x</m:t>
                  </m:r>
                </m:e>
                <m:sub>
                  <m:r>
                    <m:rPr>
                      <m:sty m:val="p"/>
                    </m:rPr>
                    <m:t>min</m:t>
                  </m:r>
                </m:sub>
              </m:sSub>
              <m:r>
                <m:rPr>
                  <m:sty m:val="p"/>
                </m:rPr>
                <m:t>,</m:t>
              </m:r>
              <m:sSub>
                <m:e>
                  <m:r>
                    <m:t>x</m:t>
                  </m:r>
                </m:e>
                <m:sub>
                  <m:r>
                    <m:rPr>
                      <m:sty m:val="p"/>
                    </m:rPr>
                    <m:t>max</m:t>
                  </m:r>
                </m:sub>
              </m:sSub>
            </m:e>
          </m:d>
        </m:oMath>
      </m:oMathPara>
    </w:p>
    <w:p>
      <w:pPr>
        <w:pStyle w:val="FirstParagraph"/>
      </w:pPr>
      <w:r>
        <w:t xml:space="preserve">Onde:</w:t>
      </w:r>
      <w:r>
        <w:t xml:space="preserve"> </w:t>
      </w:r>
      <w:r>
        <w:t xml:space="preserve">- Quando</w:t>
      </w:r>
      <w:r>
        <w:t xml:space="preserve"> </w:t>
      </w:r>
      <m:oMath>
        <m:r>
          <m:t>x</m:t>
        </m:r>
        <m:r>
          <m:rPr>
            <m:sty m:val="p"/>
          </m:rPr>
          <m:t>=</m:t>
        </m:r>
        <m:sSub>
          <m:e>
            <m:r>
              <m:t>x</m:t>
            </m:r>
          </m:e>
          <m:sub>
            <m:r>
              <m:rPr>
                <m:sty m:val="p"/>
              </m:rPr>
              <m:t>min</m:t>
            </m:r>
          </m:sub>
        </m:sSub>
      </m:oMath>
      <w:r>
        <w:t xml:space="preserve">, então</w:t>
      </w:r>
      <w:r>
        <w:t xml:space="preserve"> </w:t>
      </w:r>
      <m:oMath>
        <m:sSub>
          <m:e>
            <m:r>
              <m:t>x</m:t>
            </m:r>
          </m:e>
          <m:sub>
            <m:r>
              <m:rPr>
                <m:nor/>
                <m:sty m:val="p"/>
              </m:rPr>
              <m:t>norm</m:t>
            </m:r>
          </m:sub>
        </m:sSub>
        <m:r>
          <m:rPr>
            <m:sty m:val="p"/>
          </m:rPr>
          <m:t>=</m:t>
        </m:r>
        <m:r>
          <m:t>10</m:t>
        </m:r>
      </m:oMath>
      <w:r>
        <w:t xml:space="preserve"> </w:t>
      </w:r>
      <w:r>
        <w:t xml:space="preserve">→ melhor valor</w:t>
      </w:r>
      <w:r>
        <w:t xml:space="preserve"> </w:t>
      </w:r>
      <w:r>
        <w:t xml:space="preserve">- Quando</w:t>
      </w:r>
      <w:r>
        <w:t xml:space="preserve"> </w:t>
      </w:r>
      <m:oMath>
        <m:r>
          <m:t>x</m:t>
        </m:r>
        <m:r>
          <m:rPr>
            <m:sty m:val="p"/>
          </m:rPr>
          <m:t>=</m:t>
        </m:r>
        <m:sSub>
          <m:e>
            <m:r>
              <m:t>x</m:t>
            </m:r>
          </m:e>
          <m:sub>
            <m:r>
              <m:rPr>
                <m:sty m:val="p"/>
              </m:rPr>
              <m:t>max</m:t>
            </m:r>
          </m:sub>
        </m:sSub>
      </m:oMath>
      <w:r>
        <w:t xml:space="preserve">, então</w:t>
      </w:r>
      <w:r>
        <w:t xml:space="preserve"> </w:t>
      </w:r>
      <m:oMath>
        <m:sSub>
          <m:e>
            <m:r>
              <m:t>x</m:t>
            </m:r>
          </m:e>
          <m:sub>
            <m:r>
              <m:rPr>
                <m:nor/>
                <m:sty m:val="p"/>
              </m:rPr>
              <m:t>norm</m:t>
            </m:r>
          </m:sub>
        </m:sSub>
        <m:r>
          <m:rPr>
            <m:sty m:val="p"/>
          </m:rPr>
          <m:t>=</m:t>
        </m:r>
        <m:r>
          <m:t>0</m:t>
        </m:r>
      </m:oMath>
      <w:r>
        <w:t xml:space="preserve"> </w:t>
      </w:r>
      <w:r>
        <w:t xml:space="preserve">→ pior valor</w:t>
      </w:r>
    </w:p>
    <w:p>
      <w:pPr>
        <w:pStyle w:val="Corpodetexto"/>
      </w:pPr>
      <w:r>
        <w:t xml:space="preserve">Em ambos os casos, valores não finitos ou constantes foram tratados com imputações neutras (nota 5), assegurando robustez numérica.</w:t>
      </w:r>
    </w:p>
    <w:bookmarkEnd w:id="56"/>
    <w:bookmarkStart w:id="57" w:name="Xb683cb8459d339fa73c0c8ff9890d16a08349c2"/>
    <w:p>
      <w:pPr>
        <w:pStyle w:val="Ttulo4"/>
      </w:pPr>
      <w:r>
        <w:t xml:space="preserve">2.5.0.2 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Corpodetexto"/>
      </w:pPr>
      <w:r>
        <w:rPr>
          <w:b/>
          <w:bCs/>
        </w:rPr>
        <w:t xml:space="preserve">Equação 3 (Termo Baixo):</w:t>
      </w:r>
    </w:p>
    <w:p>
      <w:pPr>
        <w:pStyle w:val="Corpodetexto"/>
      </w:pPr>
      <m:oMathPara>
        <m:oMathParaPr>
          <m:jc m:val="center"/>
        </m:oMathParaPr>
        <m:oMath>
          <m:sSub>
            <m:e>
              <m:r>
                <m:t>μ</m:t>
              </m:r>
            </m:e>
            <m:sub>
              <m:r>
                <m:rPr>
                  <m:nor/>
                  <m:sty m:val="p"/>
                </m:rPr>
                <m:t>baixa</m:t>
              </m:r>
            </m:sub>
          </m:sSub>
          <m:d>
            <m:dPr>
              <m:begChr m:val="("/>
              <m:sepChr m:val=""/>
              <m:endChr m:val=")"/>
              <m:grow/>
            </m:dPr>
            <m:e>
              <m:r>
                <m:t>x</m:t>
              </m:r>
            </m:e>
          </m:d>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d>
            <m:dPr>
              <m:begChr m:val="("/>
              <m:sepChr m:val=""/>
              <m:endChr m:val=")"/>
              <m:grow/>
            </m:dPr>
            <m:e>
              <m:r>
                <m:t>a</m:t>
              </m:r>
              <m:r>
                <m:rPr>
                  <m:sty m:val="p"/>
                </m:rPr>
                <m:t>,</m:t>
              </m:r>
              <m:r>
                <m:t>b</m:t>
              </m:r>
              <m:r>
                <m:rPr>
                  <m:sty m:val="p"/>
                </m:rPr>
                <m:t>,</m:t>
              </m:r>
              <m:r>
                <m:t>c</m:t>
              </m:r>
            </m:e>
          </m:d>
          <m:r>
            <m:rPr>
              <m:sty m:val="p"/>
            </m:rPr>
            <m:t>=</m:t>
          </m:r>
          <m:d>
            <m:dPr>
              <m:begChr m:val="("/>
              <m:sepChr m:val=""/>
              <m:endChr m:val=")"/>
              <m:grow/>
            </m:dPr>
            <m:e>
              <m:r>
                <m:t>0</m:t>
              </m:r>
              <m:r>
                <m:rPr>
                  <m:sty m:val="p"/>
                </m:rPr>
                <m:t>,</m:t>
              </m:r>
              <m:r>
                <m:t>0</m:t>
              </m:r>
              <m:r>
                <m:rPr>
                  <m:sty m:val="p"/>
                </m:rPr>
                <m:t>,</m:t>
              </m:r>
              <m:r>
                <m:t>4</m:t>
              </m:r>
            </m:e>
          </m:d>
        </m:oMath>
      </m:oMathPara>
    </w:p>
    <w:p>
      <w:pPr>
        <w:pStyle w:val="FirstParagraph"/>
      </w:pPr>
      <w:r>
        <w:rPr>
          <w:b/>
          <w:bCs/>
        </w:rPr>
        <w:t xml:space="preserve">Equação 4 (Termo Médio):</w:t>
      </w:r>
    </w:p>
    <w:p>
      <w:pPr>
        <w:pStyle w:val="Corpodetexto"/>
      </w:pPr>
      <m:oMathPara>
        <m:oMathParaPr>
          <m:jc m:val="center"/>
        </m:oMathParaPr>
        <m:oMath>
          <m:sSub>
            <m:e>
              <m:r>
                <m:t>μ</m:t>
              </m:r>
            </m:e>
            <m:sub>
              <m:r>
                <m:rPr>
                  <m:nor/>
                  <m:sty m:val="p"/>
                </m:rPr>
                <m:t>média</m:t>
              </m:r>
            </m:sub>
          </m:sSub>
          <m:d>
            <m:dPr>
              <m:begChr m:val="("/>
              <m:sepChr m:val=""/>
              <m:endChr m:val=")"/>
              <m:grow/>
            </m:dPr>
            <m:e>
              <m:r>
                <m:t>x</m:t>
              </m:r>
            </m:e>
          </m:d>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d>
            <m:dPr>
              <m:begChr m:val="("/>
              <m:sepChr m:val=""/>
              <m:endChr m:val=")"/>
              <m:grow/>
            </m:dPr>
            <m:e>
              <m:r>
                <m:t>a</m:t>
              </m:r>
              <m:r>
                <m:rPr>
                  <m:sty m:val="p"/>
                </m:rPr>
                <m:t>,</m:t>
              </m:r>
              <m:r>
                <m:t>b</m:t>
              </m:r>
              <m:r>
                <m:rPr>
                  <m:sty m:val="p"/>
                </m:rPr>
                <m:t>,</m:t>
              </m:r>
              <m:r>
                <m:t>c</m:t>
              </m:r>
            </m:e>
          </m:d>
          <m:r>
            <m:rPr>
              <m:sty m:val="p"/>
            </m:rPr>
            <m:t>=</m:t>
          </m:r>
          <m:d>
            <m:dPr>
              <m:begChr m:val="("/>
              <m:sepChr m:val=""/>
              <m:endChr m:val=")"/>
              <m:grow/>
            </m:dPr>
            <m:e>
              <m:r>
                <m:t>3</m:t>
              </m:r>
              <m:r>
                <m:rPr>
                  <m:sty m:val="p"/>
                </m:rPr>
                <m:t>,</m:t>
              </m:r>
              <m:r>
                <m:t>5</m:t>
              </m:r>
              <m:r>
                <m:rPr>
                  <m:sty m:val="p"/>
                </m:rPr>
                <m:t>,</m:t>
              </m:r>
              <m:r>
                <m:t>7</m:t>
              </m:r>
            </m:e>
          </m:d>
        </m:oMath>
      </m:oMathPara>
    </w:p>
    <w:p>
      <w:pPr>
        <w:pStyle w:val="FirstParagraph"/>
      </w:pPr>
      <w:r>
        <w:rPr>
          <w:b/>
          <w:bCs/>
        </w:rPr>
        <w:t xml:space="preserve">Equação 5 (Termo Alto):</w:t>
      </w:r>
    </w:p>
    <w:p>
      <w:pPr>
        <w:pStyle w:val="Corpodetexto"/>
      </w:pPr>
      <m:oMathPara>
        <m:oMathParaPr>
          <m:jc m:val="center"/>
        </m:oMathParaPr>
        <m:oMath>
          <m:sSub>
            <m:e>
              <m:r>
                <m:t>μ</m:t>
              </m:r>
            </m:e>
            <m:sub>
              <m:r>
                <m:rPr>
                  <m:nor/>
                  <m:sty m:val="p"/>
                </m:rPr>
                <m:t>alta</m:t>
              </m:r>
            </m:sub>
          </m:sSub>
          <m:d>
            <m:dPr>
              <m:begChr m:val="("/>
              <m:sepChr m:val=""/>
              <m:endChr m:val=")"/>
              <m:grow/>
            </m:dPr>
            <m:e>
              <m:r>
                <m:t>x</m:t>
              </m:r>
            </m:e>
          </m:d>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d>
            <m:dPr>
              <m:begChr m:val="("/>
              <m:sepChr m:val=""/>
              <m:endChr m:val=")"/>
              <m:grow/>
            </m:dPr>
            <m:e>
              <m:r>
                <m:t>a</m:t>
              </m:r>
              <m:r>
                <m:rPr>
                  <m:sty m:val="p"/>
                </m:rPr>
                <m:t>,</m:t>
              </m:r>
              <m:r>
                <m:t>b</m:t>
              </m:r>
              <m:r>
                <m:rPr>
                  <m:sty m:val="p"/>
                </m:rPr>
                <m:t>,</m:t>
              </m:r>
              <m:r>
                <m:t>c</m:t>
              </m:r>
            </m:e>
          </m:d>
          <m:r>
            <m:rPr>
              <m:sty m:val="p"/>
            </m:rPr>
            <m:t>=</m:t>
          </m:r>
          <m:d>
            <m:dPr>
              <m:begChr m:val="("/>
              <m:sepChr m:val=""/>
              <m:endChr m:val=")"/>
              <m:grow/>
            </m:dPr>
            <m:e>
              <m:r>
                <m:t>6</m:t>
              </m:r>
              <m:r>
                <m:rPr>
                  <m:sty m:val="p"/>
                </m:rPr>
                <m:t>,</m:t>
              </m:r>
              <m:r>
                <m:t>10</m:t>
              </m:r>
              <m:r>
                <m:rPr>
                  <m:sty m:val="p"/>
                </m:rPr>
                <m:t>,</m:t>
              </m:r>
              <m:r>
                <m:t>10</m:t>
              </m:r>
            </m:e>
          </m:d>
        </m:oMath>
      </m:oMathPara>
    </w:p>
    <w:p>
      <w:pPr>
        <w:pStyle w:val="FirstParagraph"/>
      </w:pPr>
      <w:r>
        <w:t xml:space="preserve">O domínio da função triangular foi ajustado de forma a garantir sobreposição entre os termos, permitindo inferências contínuas e suavizadas.</w:t>
      </w:r>
    </w:p>
    <w:bookmarkEnd w:id="57"/>
    <w:bookmarkStart w:id="58" w:name="base-de-regras-fuzzy"/>
    <w:p>
      <w:pPr>
        <w:pStyle w:val="Ttulo4"/>
      </w:pPr>
      <w:r>
        <w:t xml:space="preserve">2.5.0.3 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Corpodetexto"/>
      </w:pPr>
      <m:oMathPara>
        <m:oMathParaPr>
          <m:jc m:val="center"/>
        </m:oMathParaPr>
        <m:oMath>
          <m:sSub>
            <m:e>
              <m:r>
                <m:t>R</m:t>
              </m:r>
            </m:e>
            <m:sub>
              <m:d>
                <m:dPr>
                  <m:begChr m:val="("/>
                  <m:sepChr m:val=""/>
                  <m:endChr m:val=")"/>
                  <m:grow/>
                </m:dPr>
                <m:e>
                  <m:r>
                    <m:t>i</m:t>
                  </m:r>
                </m:e>
              </m:d>
            </m:sub>
          </m:sSub>
          <m:r>
            <m:rPr>
              <m:sty m:val="p"/>
            </m:rPr>
            <m:t>:</m:t>
          </m:r>
          <m:r>
            <m:rPr>
              <m:nor/>
              <m:sty m:val="p"/>
            </m:rPr>
            <m:t>SE </m:t>
          </m:r>
          <m:sSub>
            <m:e>
              <m:r>
                <m:t>x</m:t>
              </m:r>
            </m:e>
            <m:sub>
              <m:r>
                <m:t>1</m:t>
              </m:r>
            </m:sub>
          </m:sSub>
          <m:r>
            <m:rPr>
              <m:sty m:val="p"/>
            </m:rPr>
            <m:t>∈</m:t>
          </m:r>
          <m:sSub>
            <m:e>
              <m:r>
                <m:t>A</m:t>
              </m:r>
            </m:e>
            <m:sub>
              <m:r>
                <m:t>1</m:t>
              </m:r>
            </m:sub>
          </m:sSub>
          <m:r>
            <m:rPr>
              <m:sty m:val="p"/>
            </m:rPr>
            <m:t>∧</m:t>
          </m:r>
          <m:sSub>
            <m:e>
              <m:r>
                <m:t>x</m:t>
              </m:r>
            </m:e>
            <m:sub>
              <m:r>
                <m:t>2</m:t>
              </m:r>
            </m:sub>
          </m:sSub>
          <m:r>
            <m:rPr>
              <m:sty m:val="p"/>
            </m:rPr>
            <m:t>∈</m:t>
          </m:r>
          <m:sSub>
            <m:e>
              <m:r>
                <m:t>A</m:t>
              </m:r>
            </m:e>
            <m:sub>
              <m:r>
                <m:t>2</m:t>
              </m:r>
            </m:sub>
          </m:sSub>
          <m:r>
            <m:rPr>
              <m:sty m:val="p"/>
            </m:rPr>
            <m:t>∧</m:t>
          </m:r>
          <m:sSub>
            <m:e>
              <m:r>
                <m:t>x</m:t>
              </m:r>
            </m:e>
            <m:sub>
              <m:r>
                <m:t>3</m:t>
              </m:r>
            </m:sub>
          </m:sSub>
          <m:r>
            <m:rPr>
              <m:sty m:val="p"/>
            </m:rPr>
            <m:t>∈</m:t>
          </m:r>
          <m:sSub>
            <m:e>
              <m:r>
                <m:t>A</m:t>
              </m:r>
            </m:e>
            <m:sub>
              <m:r>
                <m:t>3</m:t>
              </m:r>
            </m:sub>
          </m:sSub>
          <m:r>
            <m:rPr>
              <m:sty m:val="p"/>
            </m:rPr>
            <m:t>⇒</m:t>
          </m:r>
          <m:r>
            <m:t>y</m:t>
          </m:r>
          <m:r>
            <m:rPr>
              <m:sty m:val="p"/>
            </m:rPr>
            <m:t>∈</m:t>
          </m:r>
          <m:sSub>
            <m:e>
              <m:r>
                <m:t>B</m:t>
              </m:r>
            </m:e>
            <m:sub>
              <m:r>
                <m:t>i</m:t>
              </m:r>
            </m:sub>
          </m:sSub>
        </m:oMath>
      </m:oMathPara>
    </w:p>
    <w:p>
      <w:pPr>
        <w:pStyle w:val="FirstParagraph"/>
      </w:pPr>
      <w:r>
        <w:t xml:space="preserve">A ativação de cada regra</w:t>
      </w:r>
      <w:r>
        <w:t xml:space="preserve"> </w:t>
      </w:r>
      <m:oMath>
        <m:sSub>
          <m:e>
            <m:r>
              <m:t>R</m:t>
            </m:r>
          </m:e>
          <m:sub>
            <m:d>
              <m:dPr>
                <m:begChr m:val="("/>
                <m:sepChr m:val=""/>
                <m:endChr m:val=")"/>
                <m:grow/>
              </m:dPr>
              <m:e>
                <m:r>
                  <m:t>i</m:t>
                </m:r>
              </m:e>
            </m:d>
          </m:sub>
        </m:sSub>
      </m:oMath>
      <w:r>
        <w:t xml:space="preserve"> </w:t>
      </w:r>
      <w:r>
        <w:t xml:space="preserve">foi calculada conforme a Equação 7:</w:t>
      </w:r>
    </w:p>
    <w:p>
      <w:pPr>
        <w:pStyle w:val="Corpodetexto"/>
      </w:pPr>
      <m:oMathPara>
        <m:oMathParaPr>
          <m:jc m:val="center"/>
        </m:oMathParaPr>
        <m:oMath>
          <m:sSub>
            <m:e>
              <m:r>
                <m:t>α</m:t>
              </m:r>
            </m:e>
            <m:sub>
              <m:r>
                <m:t>i</m:t>
              </m:r>
            </m:sub>
          </m:sSub>
          <m:r>
            <m:rPr>
              <m:sty m:val="p"/>
            </m:rPr>
            <m:t>=</m:t>
          </m:r>
          <m:r>
            <m:rPr>
              <m:sty m:val="p"/>
            </m:rPr>
            <m:t>min</m:t>
          </m:r>
          <m:d>
            <m:dPr>
              <m:begChr m:val="("/>
              <m:sepChr m:val=""/>
              <m:endChr m:val=")"/>
              <m:grow/>
            </m:dPr>
            <m:e>
              <m:sSub>
                <m:e>
                  <m:r>
                    <m:t>μ</m:t>
                  </m:r>
                </m:e>
                <m:sub>
                  <m:r>
                    <m:t>A</m:t>
                  </m:r>
                  <m:r>
                    <m:t>1</m:t>
                  </m:r>
                </m:sub>
              </m:sSub>
              <m:d>
                <m:dPr>
                  <m:begChr m:val="("/>
                  <m:sepChr m:val=""/>
                  <m:endChr m:val=")"/>
                  <m:grow/>
                </m:dPr>
                <m:e>
                  <m:sSub>
                    <m:e>
                      <m:r>
                        <m:t>x</m:t>
                      </m:r>
                    </m:e>
                    <m:sub>
                      <m:r>
                        <m:t>1</m:t>
                      </m:r>
                    </m:sub>
                  </m:sSub>
                </m:e>
              </m:d>
              <m:r>
                <m:rPr>
                  <m:sty m:val="p"/>
                </m:rPr>
                <m:t>,</m:t>
              </m:r>
              <m:sSub>
                <m:e>
                  <m:r>
                    <m:t>μ</m:t>
                  </m:r>
                </m:e>
                <m:sub>
                  <m:r>
                    <m:t>A</m:t>
                  </m:r>
                  <m:r>
                    <m:t>2</m:t>
                  </m:r>
                </m:sub>
              </m:sSub>
              <m:d>
                <m:dPr>
                  <m:begChr m:val="("/>
                  <m:sepChr m:val=""/>
                  <m:endChr m:val=")"/>
                  <m:grow/>
                </m:dPr>
                <m:e>
                  <m:sSub>
                    <m:e>
                      <m:r>
                        <m:t>x</m:t>
                      </m:r>
                    </m:e>
                    <m:sub>
                      <m:r>
                        <m:t>2</m:t>
                      </m:r>
                    </m:sub>
                  </m:sSub>
                </m:e>
              </m:d>
              <m:r>
                <m:rPr>
                  <m:sty m:val="p"/>
                </m:rPr>
                <m:t>,</m:t>
              </m:r>
              <m:r>
                <m:rPr>
                  <m:sty m:val="p"/>
                </m:rPr>
                <m:t>…</m:t>
              </m:r>
              <m:r>
                <m:rPr>
                  <m:sty m:val="p"/>
                </m:rPr>
                <m:t>,</m:t>
              </m:r>
              <m:sSub>
                <m:e>
                  <m:r>
                    <m:t>μ</m:t>
                  </m:r>
                </m:e>
                <m:sub>
                  <m:r>
                    <m:t>A</m:t>
                  </m:r>
                  <m:r>
                    <m:t>n</m:t>
                  </m:r>
                </m:sub>
              </m:sSub>
              <m:d>
                <m:dPr>
                  <m:begChr m:val="("/>
                  <m:sepChr m:val=""/>
                  <m:endChr m:val=")"/>
                  <m:grow/>
                </m:dPr>
                <m:e>
                  <m:sSub>
                    <m:e>
                      <m:r>
                        <m:t>x</m:t>
                      </m:r>
                    </m:e>
                    <m:sub>
                      <m:r>
                        <m:t>n</m:t>
                      </m:r>
                    </m:sub>
                  </m:sSub>
                </m:e>
              </m:d>
            </m:e>
          </m:d>
        </m:oMath>
      </m:oMathPara>
    </w:p>
    <w:p>
      <w:pPr>
        <w:pStyle w:val="FirstParagraph"/>
      </w:pPr>
      <w:r>
        <w:t xml:space="preserve">O valor de saída correspondente</w:t>
      </w:r>
      <w:r>
        <w:t xml:space="preserve"> </w:t>
      </w:r>
      <m:oMath>
        <m:sSub>
          <m:e>
            <m:r>
              <m:t>μ</m:t>
            </m:r>
          </m:e>
          <m:sub>
            <m:sSub>
              <m:e>
                <m:r>
                  <m:t>B</m:t>
                </m:r>
              </m:e>
              <m:sub>
                <m:r>
                  <m:t>i</m:t>
                </m:r>
              </m:sub>
            </m:sSub>
          </m:sub>
        </m:sSub>
        <m:d>
          <m:dPr>
            <m:begChr m:val="("/>
            <m:sepChr m:val=""/>
            <m:endChr m:val=")"/>
            <m:grow/>
          </m:dPr>
          <m:e>
            <m:r>
              <m:t>z</m:t>
            </m:r>
          </m:e>
        </m:d>
      </m:oMath>
      <w:r>
        <w:t xml:space="preserve"> </w:t>
      </w:r>
      <w:r>
        <w:t xml:space="preserve">foi ponderado por</w:t>
      </w:r>
      <w:r>
        <w:t xml:space="preserve"> </w:t>
      </w:r>
      <m:oMath>
        <m:sSub>
          <m:e>
            <m:r>
              <m:t>α</m:t>
            </m:r>
          </m:e>
          <m:sub>
            <m:r>
              <m:t>i</m:t>
            </m:r>
          </m:sub>
        </m:sSub>
      </m:oMath>
      <w:r>
        <w:t xml:space="preserve"> </w:t>
      </w:r>
      <w:r>
        <w:t xml:space="preserve">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58"/>
    <w:bookmarkStart w:id="59" w:name="defuzzificação-do-índice-funcional"/>
    <w:p>
      <w:pPr>
        <w:pStyle w:val="Ttulo4"/>
      </w:pPr>
      <w:r>
        <w:t xml:space="preserve">2.5.0.4 Defuzzificação do índice funcional</w:t>
      </w:r>
    </w:p>
    <w:p>
      <w:pPr>
        <w:pStyle w:val="FirstParagraph"/>
      </w:pPr>
      <w:r>
        <w:t xml:space="preserve">O valor final do índice FSNSI foi obtido por meio do processo de defuzzificação por centróide, conforme Equação 8:</w:t>
      </w:r>
    </w:p>
    <w:p>
      <w:pPr>
        <w:pStyle w:val="Corpodetexto"/>
      </w:pPr>
      <m:oMathPara>
        <m:oMathParaPr>
          <m:jc m:val="center"/>
        </m:oMathParaPr>
        <m:oMath>
          <m:r>
            <m:rPr>
              <m:nor/>
              <m:sty m:val="p"/>
            </m:rPr>
            <m:t>FSNSI</m:t>
          </m:r>
          <m:r>
            <m:rPr>
              <m:sty m:val="p"/>
            </m:rPr>
            <m:t>=</m:t>
          </m:r>
          <m:f>
            <m:fPr>
              <m:type m:val="bar"/>
            </m:fPr>
            <m:num>
              <m:nary>
                <m:naryPr>
                  <m:chr m:val="∫"/>
                  <m:limLoc m:val="subSup"/>
                  <m:subHide m:val="off"/>
                  <m:supHide m:val="off"/>
                </m:naryPr>
                <m:sub>
                  <m:r>
                    <m:t>0</m:t>
                  </m:r>
                </m:sub>
                <m:sup>
                  <m:r>
                    <m:t>10</m:t>
                  </m:r>
                </m:sup>
                <m:e>
                  <m:sSub>
                    <m:e>
                      <m:r>
                        <m:t>μ</m:t>
                      </m:r>
                    </m:e>
                    <m:sub>
                      <m:r>
                        <m:rPr>
                          <m:nor/>
                          <m:sty m:val="p"/>
                        </m:rPr>
                        <m:t>FSNSI</m:t>
                      </m:r>
                    </m:sub>
                  </m:sSub>
                </m:e>
              </m:nary>
              <m:d>
                <m:dPr>
                  <m:begChr m:val="("/>
                  <m:sepChr m:val=""/>
                  <m:endChr m:val=")"/>
                  <m:grow/>
                </m:dPr>
                <m:e>
                  <m:r>
                    <m:t>z</m:t>
                  </m:r>
                </m:e>
              </m:d>
              <m:r>
                <m:rPr>
                  <m:sty m:val="p"/>
                </m:rPr>
                <m:t>⋅</m:t>
              </m:r>
              <m:r>
                <m:t>z</m:t>
              </m:r>
              <m:r>
                <m:t> </m:t>
              </m:r>
              <m:r>
                <m:t>d</m:t>
              </m:r>
              <m:r>
                <m:t>z</m:t>
              </m:r>
            </m:num>
            <m:den>
              <m:nary>
                <m:naryPr>
                  <m:chr m:val="∫"/>
                  <m:limLoc m:val="subSup"/>
                  <m:subHide m:val="off"/>
                  <m:supHide m:val="off"/>
                </m:naryPr>
                <m:sub>
                  <m:r>
                    <m:t>0</m:t>
                  </m:r>
                </m:sub>
                <m:sup>
                  <m:r>
                    <m:t>10</m:t>
                  </m:r>
                </m:sup>
                <m:e>
                  <m:sSub>
                    <m:e>
                      <m:r>
                        <m:t>μ</m:t>
                      </m:r>
                    </m:e>
                    <m:sub>
                      <m:r>
                        <m:rPr>
                          <m:nor/>
                          <m:sty m:val="p"/>
                        </m:rPr>
                        <m:t>FSNSI</m:t>
                      </m:r>
                    </m:sub>
                  </m:sSub>
                </m:e>
              </m:nary>
              <m:d>
                <m:dPr>
                  <m:begChr m:val="("/>
                  <m:sepChr m:val=""/>
                  <m:endChr m:val=")"/>
                  <m:grow/>
                </m:dPr>
                <m:e>
                  <m:r>
                    <m:t>z</m:t>
                  </m:r>
                </m:e>
              </m:d>
              <m:r>
                <m:t> </m:t>
              </m:r>
              <m:r>
                <m:t>d</m:t>
              </m:r>
              <m:r>
                <m:t>z</m:t>
              </m:r>
            </m:den>
          </m:f>
        </m:oMath>
      </m:oMathPara>
    </w:p>
    <w:p>
      <w:pPr>
        <w:pStyle w:val="FirstParagraph"/>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59"/>
    <w:bookmarkEnd w:id="60"/>
    <w:bookmarkEnd w:id="61"/>
    <w:bookmarkStart w:id="100" w:name="Xf4962b7422acc80f1096ca04252bc5db5489ba0"/>
    <w:p>
      <w:pPr>
        <w:pStyle w:val="Ttulo1"/>
      </w:pPr>
      <w:r>
        <w:t xml:space="preserve">3. Importância das frações de N e P para predição dos estoques totais (PLSR)</w:t>
      </w:r>
    </w:p>
    <w:p>
      <w:pPr>
        <w:pStyle w:val="FirstParagraph"/>
      </w:pPr>
      <w:r>
        <w:t xml:space="preserve">﻿# Resultados e Discussão</w:t>
      </w:r>
    </w:p>
    <w:p>
      <w:pPr>
        <w:pStyle w:val="Corpodetexto"/>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2" w:name="predição-do-nitrogênio-total"/>
    <w:p>
      <w:pPr>
        <w:pStyle w:val="Ttulo3"/>
      </w:pPr>
      <w:r>
        <w:t xml:space="preserve">3.0.1 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p>
    <w:p>
      <w:pPr>
        <w:pStyle w:val="Corpodetexto"/>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Corpodetexto"/>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2"/>
    <w:bookmarkStart w:id="67" w:name="predição-do-fósforo-total"/>
    <w:p>
      <w:pPr>
        <w:pStyle w:val="Ttulo3"/>
      </w:pPr>
      <w:r>
        <w:t xml:space="preserve">3.0.2 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(Tivet et al., 2013, Helfenstein et al., 2020)</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Corpodetexto"/>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(H2PO4?)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Corpodetexto"/>
      </w:pPr>
      <w:bookmarkStart w:id="66" w:name="fig:5"/>
      <w:r>
        <w:drawing>
          <wp:inline>
            <wp:extent cx="5040630" cy="4032504"/>
            <wp:effectExtent b="0" l="0" r="0" t="0"/>
            <wp:docPr descr="Figura 5. Biplot PLSR para PT, mostrando scores das amostras por uso da terra e loadings das variáveis preditoras de fósforo." title="" id="64" name="Picture"/>
            <a:graphic>
              <a:graphicData uri="http://schemas.openxmlformats.org/drawingml/2006/picture">
                <pic:pic>
                  <pic:nvPicPr>
                    <pic:cNvPr descr="chapters/../figures/biplot_plsr_pt.png" id="65" name="Picture"/>
                    <pic:cNvPicPr>
                      <a:picLocks noChangeArrowheads="1" noChangeAspect="1"/>
                    </pic:cNvPicPr>
                  </pic:nvPicPr>
                  <pic:blipFill>
                    <a:blip r:embed="rId63"/>
                    <a:stretch>
                      <a:fillRect/>
                    </a:stretch>
                  </pic:blipFill>
                  <pic:spPr bwMode="auto">
                    <a:xfrm>
                      <a:off x="0" y="0"/>
                      <a:ext cx="5040630" cy="4032504"/>
                    </a:xfrm>
                    <a:prstGeom prst="rect">
                      <a:avLst/>
                    </a:prstGeom>
                    <a:noFill/>
                    <a:ln w="9525">
                      <a:noFill/>
                      <a:headEnd/>
                      <a:tailEnd/>
                    </a:ln>
                  </pic:spPr>
                </pic:pic>
              </a:graphicData>
            </a:graphic>
          </wp:inline>
        </w:drawing>
      </w:r>
      <w:bookmarkEnd w:id="66"/>
      <w:r>
        <w:t xml:space="preserve"> </w:t>
      </w:r>
      <w:r>
        <w:t xml:space="preserve">Nota: Padrão visual similar ao do NT, refletindo a associação estrutural entre N e P no solo.</w:t>
      </w:r>
    </w:p>
    <w:p>
      <w:pPr>
        <w:pStyle w:val="Corpodetexto"/>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Corpodetexto"/>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67"/>
    <w:bookmarkStart w:id="78" w:name="X04467b2d2b68003ceaea6d2df8ca10d77b4c5fe"/>
    <w:p>
      <w:pPr>
        <w:pStyle w:val="Ttulo2"/>
      </w:pPr>
      <w:r>
        <w:t xml:space="preserve">Relações estruturais entre frações lábeis, húmicas e estoques totais (PLS-SEM)</w:t>
      </w:r>
    </w:p>
    <w:bookmarkStart w:id="72" w:name="resultados-do-modelo-estrutural-global"/>
    <w:p>
      <w:pPr>
        <w:pStyle w:val="Ttulo3"/>
      </w:pPr>
      <w:r>
        <w:t xml:space="preserve">3.0.3 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 = 0.981 a 0.990) para todos os indicadores, confirmando que as variáveis manifestas capturam de forma robusta a variabilidade intrínseca de cada fração funcional (Figura 6).</w:t>
      </w:r>
    </w:p>
    <w:p>
      <w:pPr>
        <w:pStyle w:val="Corpodetexto"/>
      </w:pPr>
      <w:bookmarkStart w:id="71" w:name="fig:6"/>
      <w:r>
        <w:drawing>
          <wp:inline>
            <wp:extent cx="5320665" cy="4514396"/>
            <wp:effectExtent b="0" l="0" r="0" t="0"/>
            <wp:docPr descr="Figura 6. Análise de caminhos do modelo PLS-SEM evidenciando as relações estruturais entre variáveis latentes (frações de nitrogênio e fósforo) e indicadores observáveis." title="" id="69" name="Picture"/>
            <a:graphic>
              <a:graphicData uri="http://schemas.openxmlformats.org/drawingml/2006/picture">
                <pic:pic>
                  <pic:nvPicPr>
                    <pic:cNvPr descr="chapters/../figures/analise_caminhos_pls.png" id="70" name="Picture"/>
                    <pic:cNvPicPr>
                      <a:picLocks noChangeArrowheads="1" noChangeAspect="1"/>
                    </pic:cNvPicPr>
                  </pic:nvPicPr>
                  <pic:blipFill>
                    <a:blip r:embed="rId68"/>
                    <a:stretch>
                      <a:fillRect/>
                    </a:stretch>
                  </pic:blipFill>
                  <pic:spPr bwMode="auto">
                    <a:xfrm>
                      <a:off x="0" y="0"/>
                      <a:ext cx="5320665" cy="4514396"/>
                    </a:xfrm>
                    <a:prstGeom prst="rect">
                      <a:avLst/>
                    </a:prstGeom>
                    <a:noFill/>
                    <a:ln w="9525">
                      <a:noFill/>
                      <a:headEnd/>
                      <a:tailEnd/>
                    </a:ln>
                  </pic:spPr>
                </pic:pic>
              </a:graphicData>
            </a:graphic>
          </wp:inline>
        </w:drawing>
      </w:r>
      <w:bookmarkEnd w:id="71"/>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Corpodetexto"/>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Corpodetexto"/>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(Pegoraro et al., 2011, Ferreira et al., 2021)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Corpodetexto"/>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(Marinho Junior et al., 2021, Araújo Filho et al., 2024)</w:t>
      </w:r>
      <w:r>
        <w:t xml:space="preserve">. Não se trata, portanto, de antagonismo biogeoquímico, mas de evidência de que o modelo capturou a dinâmica de humificação incremental do sistema.</w:t>
      </w:r>
    </w:p>
    <w:p>
      <w:pPr>
        <w:pStyle w:val="Corpodetexto"/>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Corpodetexto"/>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Corpodetexto"/>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pPr>
        <w:pStyle w:val="Corpodetexto"/>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Corpodetexto"/>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Corpodetexto"/>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p>
      <w:pPr>
        <w:pStyle w:val="Corpodetexto"/>
      </w:pPr>
      <w:r>
        <w:t xml:space="preserve">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2"/>
    <w:bookmarkStart w:id="77" w:name="X7027ba980ad7c918e6a8ee94dc578b9f2dbe914"/>
    <w:p>
      <w:pPr>
        <w:pStyle w:val="Ttulo3"/>
      </w:pPr>
      <w:r>
        <w:t xml:space="preserve">3.0.4 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76" w:name="fig:7"/>
    <w:p>
      <w:pPr>
        <w:pStyle w:val="CaptionedFigure"/>
      </w:pPr>
      <w:r>
        <w:drawing>
          <wp:inline>
            <wp:extent cx="5320665" cy="3547110"/>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74" name="Picture"/>
            <a:graphic>
              <a:graphicData uri="http://schemas.openxmlformats.org/drawingml/2006/picture">
                <pic:pic>
                  <pic:nvPicPr>
                    <pic:cNvPr descr="chapters/../figures/comparacao_coeficientes.png" id="75" name="Picture"/>
                    <pic:cNvPicPr>
                      <a:picLocks noChangeArrowheads="1" noChangeAspect="1"/>
                    </pic:cNvPicPr>
                  </pic:nvPicPr>
                  <pic:blipFill>
                    <a:blip r:embed="rId73"/>
                    <a:stretch>
                      <a:fillRect/>
                    </a:stretch>
                  </pic:blipFill>
                  <pic:spPr bwMode="auto">
                    <a:xfrm>
                      <a:off x="0" y="0"/>
                      <a:ext cx="5320665" cy="3547110"/>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76"/>
    <w:p>
      <w:pPr>
        <w:pStyle w:val="Corpodetexto"/>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(Pegoraro et al., 2011, Ferreira et al., 2021)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Corpodetexto"/>
      </w:pPr>
      <w:r>
        <w:t xml:space="preserve">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p>
      <w:pPr>
        <w:pStyle w:val="TableCaption"/>
      </w:pPr>
      <w:r>
        <w:t xml:space="preserve">Tabela 5 -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type="pct" w:w="5000"/>
        <w:tblLayout w:type="fixed"/>
        <w:tblLook w:firstRow="1" w:lastRow="0" w:firstColumn="0" w:lastColumn="0" w:noHBand="0" w:noVBand="0" w:val="0020"/>
        <w:tblCaption w:val="Tabela 5 - Coeficientes de caminho estratificados por uso da terra. Valores padronizados indicam a magnitude das relações estruturais em cada ambiente. Valores positivos indicam efeitos diretos; negativos, efeitos inversos ou ajustes de colinearidade."/>
      </w:tblPr>
      <w:tblGrid>
        <w:gridCol w:w="1232"/>
        <w:gridCol w:w="1672"/>
        <w:gridCol w:w="1672"/>
        <w:gridCol w:w="1672"/>
        <w:gridCol w:w="1672"/>
      </w:tblGrid>
      <w:tr>
        <w:trPr>
          <w:tblHeader w:val="on"/>
        </w:trPr>
        <w:tc>
          <w:tcPr/>
          <w:p>
            <w:pPr>
              <w:pStyle w:val="Compact"/>
            </w:pPr>
            <w:r>
              <w:t xml:space="preserve">Uso da Terra</w:t>
            </w:r>
          </w:p>
        </w:tc>
        <w:tc>
          <w:tcPr/>
          <w:p>
            <w:pPr>
              <w:pStyle w:val="Compact"/>
            </w:pPr>
            <w:r>
              <w:t xml:space="preserve">N_húmico ? N_total</w:t>
            </w:r>
          </w:p>
        </w:tc>
        <w:tc>
          <w:tcPr/>
          <w:p>
            <w:pPr>
              <w:pStyle w:val="Compact"/>
            </w:pPr>
            <w:r>
              <w:t xml:space="preserve">N_lábil ? N_total</w:t>
            </w:r>
          </w:p>
        </w:tc>
        <w:tc>
          <w:tcPr/>
          <w:p>
            <w:pPr>
              <w:pStyle w:val="Compact"/>
            </w:pPr>
            <w:r>
              <w:t xml:space="preserve">P_húmico ? P_total</w:t>
            </w:r>
          </w:p>
        </w:tc>
        <w:tc>
          <w:tcPr/>
          <w:p>
            <w:pPr>
              <w:pStyle w:val="Compact"/>
            </w:pPr>
            <w:r>
              <w:t xml:space="preserve">P_lábil ? P_total</w:t>
            </w:r>
          </w:p>
        </w:tc>
      </w:tr>
      <w:tr>
        <w:tc>
          <w:tcPr/>
          <w:p>
            <w:pPr>
              <w:pStyle w:val="Compact"/>
            </w:pPr>
            <w:r>
              <w:t xml:space="preserve">Cerrado</w:t>
            </w:r>
          </w:p>
        </w:tc>
        <w:tc>
          <w:tcPr/>
          <w:p>
            <w:pPr>
              <w:pStyle w:val="Compact"/>
            </w:pPr>
            <w:r>
              <w:t xml:space="preserve">1.286</w:t>
            </w:r>
          </w:p>
        </w:tc>
        <w:tc>
          <w:tcPr/>
          <w:p>
            <w:pPr>
              <w:pStyle w:val="Compact"/>
            </w:pPr>
            <w:r>
              <w:t xml:space="preserve">-0.313</w:t>
            </w:r>
          </w:p>
        </w:tc>
        <w:tc>
          <w:tcPr/>
          <w:p>
            <w:pPr>
              <w:pStyle w:val="Compact"/>
            </w:pPr>
            <w:r>
              <w:t xml:space="preserve">1.286</w:t>
            </w:r>
          </w:p>
        </w:tc>
        <w:tc>
          <w:tcPr/>
          <w:p>
            <w:pPr>
              <w:pStyle w:val="Compact"/>
            </w:pPr>
            <w:r>
              <w:t xml:space="preserve">-0.313</w:t>
            </w:r>
          </w:p>
        </w:tc>
      </w:tr>
      <w:tr>
        <w:tc>
          <w:tcPr/>
          <w:p>
            <w:pPr>
              <w:pStyle w:val="Compact"/>
            </w:pPr>
            <w:r>
              <w:t xml:space="preserve">Agricultura</w:t>
            </w:r>
          </w:p>
        </w:tc>
        <w:tc>
          <w:tcPr/>
          <w:p>
            <w:pPr>
              <w:pStyle w:val="Compact"/>
            </w:pPr>
            <w:r>
              <w:t xml:space="preserve">1.180</w:t>
            </w:r>
          </w:p>
        </w:tc>
        <w:tc>
          <w:tcPr/>
          <w:p>
            <w:pPr>
              <w:pStyle w:val="Compact"/>
            </w:pPr>
            <w:r>
              <w:t xml:space="preserve">-0.237</w:t>
            </w:r>
          </w:p>
        </w:tc>
        <w:tc>
          <w:tcPr/>
          <w:p>
            <w:pPr>
              <w:pStyle w:val="Compact"/>
            </w:pPr>
            <w:r>
              <w:t xml:space="preserve">1.180</w:t>
            </w:r>
          </w:p>
        </w:tc>
        <w:tc>
          <w:tcPr/>
          <w:p>
            <w:pPr>
              <w:pStyle w:val="Compact"/>
            </w:pPr>
            <w:r>
              <w:t xml:space="preserve">-0.237</w:t>
            </w:r>
          </w:p>
        </w:tc>
      </w:tr>
      <w:tr>
        <w:tc>
          <w:tcPr/>
          <w:p>
            <w:pPr>
              <w:pStyle w:val="Compact"/>
            </w:pPr>
            <w:r>
              <w:t xml:space="preserve">Mogno-africano</w:t>
            </w:r>
          </w:p>
        </w:tc>
        <w:tc>
          <w:tcPr/>
          <w:p>
            <w:pPr>
              <w:pStyle w:val="Compact"/>
            </w:pPr>
            <w:r>
              <w:t xml:space="preserve">1.271</w:t>
            </w:r>
          </w:p>
        </w:tc>
        <w:tc>
          <w:tcPr/>
          <w:p>
            <w:pPr>
              <w:pStyle w:val="Compact"/>
            </w:pPr>
            <w:r>
              <w:t xml:space="preserve">-0.277</w:t>
            </w:r>
          </w:p>
        </w:tc>
        <w:tc>
          <w:tcPr/>
          <w:p>
            <w:pPr>
              <w:pStyle w:val="Compact"/>
            </w:pPr>
            <w:r>
              <w:t xml:space="preserve">1.271</w:t>
            </w:r>
          </w:p>
        </w:tc>
        <w:tc>
          <w:tcPr/>
          <w:p>
            <w:pPr>
              <w:pStyle w:val="Compact"/>
            </w:pPr>
            <w:r>
              <w:t xml:space="preserve">-0.277</w:t>
            </w:r>
          </w:p>
        </w:tc>
      </w:tr>
      <w:tr>
        <w:tc>
          <w:tcPr/>
          <w:p>
            <w:pPr>
              <w:pStyle w:val="Compact"/>
            </w:pPr>
            <w:r>
              <w:t xml:space="preserve">Eucalipto</w:t>
            </w:r>
          </w:p>
        </w:tc>
        <w:tc>
          <w:tcPr/>
          <w:p>
            <w:pPr>
              <w:pStyle w:val="Compact"/>
            </w:pPr>
            <w:r>
              <w:t xml:space="preserve">1.275</w:t>
            </w:r>
          </w:p>
        </w:tc>
        <w:tc>
          <w:tcPr/>
          <w:p>
            <w:pPr>
              <w:pStyle w:val="Compact"/>
            </w:pPr>
            <w:r>
              <w:t xml:space="preserve">-0.283</w:t>
            </w:r>
          </w:p>
        </w:tc>
        <w:tc>
          <w:tcPr/>
          <w:p>
            <w:pPr>
              <w:pStyle w:val="Compact"/>
            </w:pPr>
            <w:r>
              <w:t xml:space="preserve">1.275</w:t>
            </w:r>
          </w:p>
        </w:tc>
        <w:tc>
          <w:tcPr/>
          <w:p>
            <w:pPr>
              <w:pStyle w:val="Compact"/>
            </w:pPr>
            <w:r>
              <w:t xml:space="preserve">-0.283</w:t>
            </w:r>
          </w:p>
        </w:tc>
      </w:tr>
      <w:tr>
        <w:tc>
          <w:tcPr/>
          <w:p>
            <w:pPr>
              <w:pStyle w:val="Compact"/>
            </w:pPr>
            <w:r>
              <w:t xml:space="preserve">Teca</w:t>
            </w:r>
          </w:p>
        </w:tc>
        <w:tc>
          <w:tcPr/>
          <w:p>
            <w:pPr>
              <w:pStyle w:val="Compact"/>
            </w:pPr>
            <w:r>
              <w:t xml:space="preserve">1.372</w:t>
            </w:r>
          </w:p>
        </w:tc>
        <w:tc>
          <w:tcPr/>
          <w:p>
            <w:pPr>
              <w:pStyle w:val="Compact"/>
            </w:pPr>
            <w:r>
              <w:t xml:space="preserve">-0.445</w:t>
            </w:r>
          </w:p>
        </w:tc>
        <w:tc>
          <w:tcPr/>
          <w:p>
            <w:pPr>
              <w:pStyle w:val="Compact"/>
            </w:pPr>
            <w:r>
              <w:t xml:space="preserve">1.372</w:t>
            </w:r>
          </w:p>
        </w:tc>
        <w:tc>
          <w:tcPr/>
          <w:p>
            <w:pPr>
              <w:pStyle w:val="Compact"/>
            </w:pPr>
            <w:r>
              <w:t xml:space="preserve">-0.445</w:t>
            </w:r>
          </w:p>
        </w:tc>
      </w:tr>
    </w:tbl>
    <w:bookmarkEnd w:id="77"/>
    <w:bookmarkEnd w:id="78"/>
    <w:bookmarkStart w:id="98" w:name="Xb0702e275b176be45e773b87c7e40dd012ab1ae"/>
    <w:p>
      <w:pPr>
        <w:pStyle w:val="Ttulo2"/>
      </w:pPr>
      <w:r>
        <w:t xml:space="preserve">Integração fuzzy da funcionalidade edáfica: Índice de Sustentabilidade (FSNSI)</w:t>
      </w:r>
    </w:p>
    <w:bookmarkStart w:id="91" w:name="X8edd9a6adcf4ab94a28feea5bccec7912efedb5"/>
    <w:p>
      <w:pPr>
        <w:pStyle w:val="Ttulo3"/>
      </w:pPr>
      <w:r>
        <w:t xml:space="preserve">3.0.5 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Corpodetexto"/>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2" w:name="fig:7"/>
    <w:p>
      <w:pPr>
        <w:pStyle w:val="CaptionedFigure"/>
      </w:pPr>
      <w:r>
        <w:drawing>
          <wp:inline>
            <wp:extent cx="5040630" cy="6300787"/>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0" name="Picture"/>
            <a:graphic>
              <a:graphicData uri="http://schemas.openxmlformats.org/drawingml/2006/picture">
                <pic:pic>
                  <pic:nvPicPr>
                    <pic:cNvPr descr="chapters/../figures/funcoes_pertinencia_entrada.png" id="81" name="Picture"/>
                    <pic:cNvPicPr>
                      <a:picLocks noChangeArrowheads="1" noChangeAspect="1"/>
                    </pic:cNvPicPr>
                  </pic:nvPicPr>
                  <pic:blipFill>
                    <a:blip r:embed="rId79"/>
                    <a:stretch>
                      <a:fillRect/>
                    </a:stretch>
                  </pic:blipFill>
                  <pic:spPr bwMode="auto">
                    <a:xfrm>
                      <a:off x="0" y="0"/>
                      <a:ext cx="5040630" cy="6300787"/>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2"/>
    <w:p>
      <w:pPr>
        <w:pStyle w:val="Corpodetexto"/>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86" w:name="fig:8"/>
    <w:p>
      <w:pPr>
        <w:pStyle w:val="CaptionedFigure"/>
      </w:pPr>
      <w:r>
        <w:drawing>
          <wp:inline>
            <wp:extent cx="4480560" cy="2800350"/>
            <wp:effectExtent b="0" l="0" r="0" t="0"/>
            <wp:docPr descr="Figura 8. Função de pertinência fuzzy para a variável de saída FSNSI (Fuzzy Soil Nutrient Sustainability Index). Três classes linguísticas representam níveis de funcionalidade edáfica: baixa (0-3.33), média (3.34-6.66) e alta (6.67-10.0)." title="" id="84" name="Picture"/>
            <a:graphic>
              <a:graphicData uri="http://schemas.openxmlformats.org/drawingml/2006/picture">
                <pic:pic>
                  <pic:nvPicPr>
                    <pic:cNvPr descr="chapters/../figures/funcao_pertinencia_saida.png" id="85" name="Picture"/>
                    <pic:cNvPicPr>
                      <a:picLocks noChangeArrowheads="1" noChangeAspect="1"/>
                    </pic:cNvPicPr>
                  </pic:nvPicPr>
                  <pic:blipFill>
                    <a:blip r:embed="rId83"/>
                    <a:stretch>
                      <a:fillRect/>
                    </a:stretch>
                  </pic:blipFill>
                  <pic:spPr bwMode="auto">
                    <a:xfrm>
                      <a:off x="0" y="0"/>
                      <a:ext cx="4480560" cy="280035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86"/>
    <w:p>
      <w:pPr>
        <w:pStyle w:val="Corpodetexto"/>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0" w:name="fig:9"/>
    <w:p>
      <w:pPr>
        <w:pStyle w:val="CaptionedFigure"/>
      </w:pPr>
      <w:r>
        <w:drawing>
          <wp:inline>
            <wp:extent cx="5040630" cy="3780472"/>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88" name="Picture"/>
            <a:graphic>
              <a:graphicData uri="http://schemas.openxmlformats.org/drawingml/2006/picture">
                <pic:pic>
                  <pic:nvPicPr>
                    <pic:cNvPr descr="chapters/../figures/boxplot_fsnsi_uso_terra.png" id="89" name="Picture"/>
                    <pic:cNvPicPr>
                      <a:picLocks noChangeArrowheads="1" noChangeAspect="1"/>
                    </pic:cNvPicPr>
                  </pic:nvPicPr>
                  <pic:blipFill>
                    <a:blip r:embed="rId87"/>
                    <a:stretch>
                      <a:fillRect/>
                    </a:stretch>
                  </pic:blipFill>
                  <pic:spPr bwMode="auto">
                    <a:xfrm>
                      <a:off x="0" y="0"/>
                      <a:ext cx="5040630" cy="3780472"/>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0"/>
    <w:p>
      <w:pPr>
        <w:pStyle w:val="Corpodetexto"/>
      </w:pPr>
      <w: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Corpodetexto"/>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Corpodetexto"/>
      </w:pPr>
      <w:r>
        <w:t xml:space="preserve">DP: desvio-padrão; EP: erro-padrão; CV: coeficiente de variação; Q1: primeiro quartil; Q3: terceiro quartil.</w:t>
      </w:r>
    </w:p>
    <w:p>
      <w:pPr>
        <w:pStyle w:val="Corpodetexto"/>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Corpodetexto"/>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1"/>
    <w:bookmarkStart w:id="96" w:name="estratificação-vertical-do-fsnsi"/>
    <w:p>
      <w:pPr>
        <w:pStyle w:val="Ttulo3"/>
      </w:pPr>
      <w:r>
        <w:t xml:space="preserve">3.0.6 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95" w:name="fig:10"/>
    <w:p>
      <w:pPr>
        <w:pStyle w:val="CaptionedFigure"/>
      </w:pPr>
      <w:r>
        <w:drawing>
          <wp:inline>
            <wp:extent cx="5320665" cy="4256532"/>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93" name="Picture"/>
            <a:graphic>
              <a:graphicData uri="http://schemas.openxmlformats.org/drawingml/2006/picture">
                <pic:pic>
                  <pic:nvPicPr>
                    <pic:cNvPr descr="chapters/../figures/fsnsi_profundidade_uso_terra.png" id="94" name="Picture"/>
                    <pic:cNvPicPr>
                      <a:picLocks noChangeArrowheads="1" noChangeAspect="1"/>
                    </pic:cNvPicPr>
                  </pic:nvPicPr>
                  <pic:blipFill>
                    <a:blip r:embed="rId92"/>
                    <a:stretch>
                      <a:fillRect/>
                    </a:stretch>
                  </pic:blipFill>
                  <pic:spPr bwMode="auto">
                    <a:xfrm>
                      <a:off x="0" y="0"/>
                      <a:ext cx="5320665" cy="4256532"/>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95"/>
    <w:p>
      <w:pPr>
        <w:pStyle w:val="Corpodetexto"/>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Corpodetexto"/>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96"/>
    <w:bookmarkStart w:id="97" w:name="Xa59968552af488a314325b1f8d44a6f5f1ffff6"/>
    <w:p>
      <w:pPr>
        <w:pStyle w:val="Ttulo3"/>
      </w:pPr>
      <w:r>
        <w:t xml:space="preserve">3.0.7 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Corpodetexto"/>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Corpodetexto"/>
      </w:pPr>
      <w:r>
        <w:t xml:space="preserve">*** p &lt; 0.001; ** p &lt; 0.01; * p &lt; 0.05.</w:t>
      </w:r>
    </w:p>
    <w:p>
      <w:pPr>
        <w:pStyle w:val="Corpodetexto"/>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O2, comprometendo processos-chave como a mineralização de N orgânico, a solubilização de P por ácidos orgânicos exsudados por microrganianos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Corpodetexto"/>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ß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Corpodetexto"/>
      </w:pPr>
      <w: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Corpodetexto"/>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Corpodetexto"/>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Corpodetexto"/>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(Pegoraro et al., 2011, Ferreira et al., 2021)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Corpodetexto"/>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Corpodetexto"/>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97"/>
    <w:bookmarkEnd w:id="98"/>
    <w:bookmarkStart w:id="99" w:name="X8a477b7d9f53564a39700b1a97e7d07a92ab0ea"/>
    <w:p>
      <w:pPr>
        <w:pStyle w:val="Ttulo2"/>
      </w:pPr>
      <w:r>
        <w:t xml:space="preserve">Articulação entre PLSR, PLS-SEM e inferência fuzzy</w:t>
      </w:r>
    </w:p>
    <w:p>
      <w:pPr>
        <w:pStyle w:val="FirstParagraph"/>
      </w:pPr>
      <w:r>
        <w:t xml:space="preserve">A integração das três abordagens analíticas (PLSR, PLS-SEM e inferência fuzzy) permitiu compreensão multiescalar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fuzzy traduziu essas informações em índice sintético de funcionalidade, incorporando a dimensão física (densidade do solo) como fator limitante.</w:t>
      </w:r>
    </w:p>
    <w:p>
      <w:pPr>
        <w:pStyle w:val="Corpodetexto"/>
      </w:pPr>
      <w:r>
        <w:t xml:space="preserve">A estrutura do modelo PLS-SEM demonstra que as frações húmicas (NTAH, NTHum, PTAH, PTHum) funcionam como reservatórios preferenciais para N e P, com contribuições dominantes na predição dos pools totais. Os coeficientes de caminho (ß = 1.286 para N_húmico ? N_total, ß = -0.313 para N_lábil ? N_total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pPr>
        <w:pStyle w:val="Corpodetexto"/>
      </w:pPr>
      <w:r>
        <w:t xml:space="preserve">A análise fuzzy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bioperturbação que reduz localmente a densidade aparente, atenuando a penalização física no cálculo do FSNSI.</w:t>
      </w:r>
    </w:p>
    <w:p>
      <w:pPr>
        <w:pStyle w:val="Corpodetexto"/>
      </w:pPr>
      <w: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pPr>
        <w:pStyle w:val="Corpodetexto"/>
      </w:pPr>
      <w:r>
        <w:t xml:space="preserve">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pPr>
        <w:pStyle w:val="Corpodetexto"/>
      </w:pPr>
      <w:r>
        <w:t xml:space="preserve">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w:t>
      </w:r>
      <w:r>
        <w:t xml:space="preserve"> </w:t>
      </w:r>
      <w:r>
        <w:t xml:space="preserve">“baixa”</w:t>
      </w:r>
      <w:r>
        <w:t xml:space="preserve"> </w:t>
      </w:r>
      <w:r>
        <w:t xml:space="preserve">e 37.5%</w:t>
      </w:r>
      <w:r>
        <w:t xml:space="preserve"> </w:t>
      </w:r>
      <w:r>
        <w:t xml:space="preserve">“média”</w:t>
      </w:r>
      <w:r>
        <w:t xml:space="preserve">)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pPr>
        <w:pStyle w:val="Corpodetexto"/>
      </w:pPr>
      <w:r>
        <w:t xml:space="preserve">A análise de correlação confirmou que N total e P total explicam 62% da variância do FSNSI (r = 0.789, r² = 0.622), validando a estrutura lógica do sistema fuzzy.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pPr>
        <w:pStyle w:val="Corpodetexto"/>
      </w:pPr>
      <w:r>
        <w:t xml:space="preserve">Essa síntese integrativa reforça a necessidade de abordagens multiescalares para avaliação da sustentabilidade edáfica em ambientes tropicais. Indicadores isolados podem mascarar desequilíbrios funcionais que somente emergem quando se 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bookmarkEnd w:id="99"/>
    <w:bookmarkEnd w:id="100"/>
    <w:bookmarkStart w:id="101" w:name="section"/>
    <w:p>
      <w:pPr>
        <w:pStyle w:val="Ttulo1"/>
      </w:pPr>
      <w:r>
        <w:t xml:space="preserve">4. </w:t>
      </w:r>
    </w:p>
    <w:p>
      <w:pPr>
        <w:pStyle w:val="FirstParagraph"/>
      </w:pPr>
      <w:r>
        <w:t xml:space="preserve">﻿# Conclusão</w:t>
      </w:r>
    </w:p>
    <w:p>
      <w:pPr>
        <w:pStyle w:val="Corpodetexto"/>
      </w:pPr>
      <w:r>
        <w:t xml:space="preserve">A integração metodológica (PLSR, PLS-SEM e inferência fuzzy) permitiu a caracterização estrutural e funcional da dinâmica de N e P em solos tropicais, revelando a heterogeneidade induzida pelo manejo.</w:t>
      </w:r>
    </w:p>
    <w:p>
      <w:pPr>
        <w:pStyle w:val="Corpodetexto"/>
      </w:pPr>
      <w:r>
        <w:t xml:space="preserve">As frações húmicas atuam como preditoras-chave da disponibilidade de nutrientes, funcionando como integradoras de múltiplos processos biogeoquímicos e sugerindo um acoplamento geoquímico fundamental em Latossolos.</w:t>
      </w:r>
    </w:p>
    <w:p>
      <w:pPr>
        <w:pStyle w:val="Corpodetexto"/>
      </w:pPr>
      <w:r>
        <w:t xml:space="preserve">A resposta funcional do solo é transversalmente limitada por fatores físicos, como a densidade, estabelecendo que a degradação física não é compensada por um elevado desempenho químico.</w:t>
      </w:r>
    </w:p>
    <w:p>
      <w:pPr>
        <w:pStyle w:val="Corpodetexto"/>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Corpodetexto"/>
      </w:pPr>
      <w:r>
        <w:t xml:space="preserve">A funcionalidade bioquímica elevada não garante a sustentabilidade em regimes de exploração intensiva, como evidenciado pela redução funcional em sistemas com Teca.</w:t>
      </w:r>
    </w:p>
    <w:p>
      <w:pPr>
        <w:pStyle w:val="Corpodetexto"/>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Corpodetexto"/>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End w:id="101"/>
    <w:bookmarkStart w:id="193" w:name="referências"/>
    <w:p>
      <w:pPr>
        <w:pStyle w:val="Ttulo1"/>
      </w:pPr>
      <w:r>
        <w:t xml:space="preserve">Referências</w:t>
      </w:r>
    </w:p>
    <w:bookmarkStart w:id="192" w:name="refs"/>
    <w:bookmarkStart w:id="102" w:name="ref-almeida2024"/>
    <w:p>
      <w:pPr>
        <w:pStyle w:val="Bibliografia"/>
      </w:pPr>
      <w:r>
        <w:t xml:space="preserve">Almeida, D. C. et al.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b/>
          <w:bCs/>
        </w:rPr>
        <w:t xml:space="preserve">48</w:t>
      </w:r>
      <w:r>
        <w:t xml:space="preserve"> p. e0240128.</w:t>
      </w:r>
    </w:p>
    <w:bookmarkEnd w:id="102"/>
    <w:bookmarkStart w:id="104" w:name="ref-araujofilho2024"/>
    <w:p>
      <w:pPr>
        <w:pStyle w:val="Bibliografia"/>
      </w:pPr>
      <w:r>
        <w:t xml:space="preserve">Araújo Filho, R. N. de, M. B. G. dos S. Freire, F. J. Freire, R. L. C. Ferreira, L. M. Pereira &amp; L. D. V. Santos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b/>
          <w:bCs/>
        </w:rPr>
        <w:t xml:space="preserve">567</w:t>
      </w:r>
      <w:r>
        <w:t xml:space="preserve"> p. 122087.</w:t>
      </w:r>
      <w:r>
        <w:t xml:space="preserve"> </w:t>
      </w:r>
      <w:hyperlink r:id="rId103">
        <w:r>
          <w:rPr>
            <w:rStyle w:val="Hyperlink"/>
          </w:rPr>
          <w:t xml:space="preserve">https://doi.org/10.1016/j.foreco.2024.122087</w:t>
        </w:r>
      </w:hyperlink>
    </w:p>
    <w:bookmarkEnd w:id="104"/>
    <w:bookmarkStart w:id="105" w:name="ref-camposmontanari2024"/>
    <w:p>
      <w:pPr>
        <w:pStyle w:val="Bibliografia"/>
      </w:pPr>
      <w:r>
        <w:t xml:space="preserve">Campos, A. &amp; B. Montanari (2024). Limpeza de área em plantios florestais.</w:t>
      </w:r>
      <w:r>
        <w:t xml:space="preserve"> </w:t>
      </w:r>
      <w:r>
        <w:rPr>
          <w:i/>
          <w:iCs/>
        </w:rPr>
        <w:t xml:space="preserve">Revista de Silvicultura</w:t>
      </w:r>
      <w:r>
        <w:t xml:space="preserve">.</w:t>
      </w:r>
    </w:p>
    <w:bookmarkEnd w:id="105"/>
    <w:bookmarkStart w:id="107" w:name="ref-Cao2016"/>
    <w:p>
      <w:pPr>
        <w:pStyle w:val="Bibliografia"/>
      </w:pPr>
      <w:r>
        <w:t xml:space="preserve">Cao, X., Q. Ma, L. Wu, L. Zhu &amp; Q. Jin (2016). Effects of ammonium application rate on uptake of soil adsorbed amino acids by rice.</w:t>
      </w:r>
      <w:r>
        <w:t xml:space="preserve"> </w:t>
      </w:r>
      <w:r>
        <w:rPr>
          <w:i/>
          <w:iCs/>
        </w:rPr>
        <w:t xml:space="preserve">Journal of Zhejiang University-SCIENCE B</w:t>
      </w:r>
      <w:r>
        <w:t xml:space="preserve">,</w:t>
      </w:r>
      <w:r>
        <w:t xml:space="preserve"> </w:t>
      </w:r>
      <w:r>
        <w:rPr>
          <w:b/>
          <w:bCs/>
        </w:rPr>
        <w:t xml:space="preserve">17</w:t>
      </w:r>
      <w:r>
        <w:t xml:space="preserve"> p. 294–302.</w:t>
      </w:r>
      <w:r>
        <w:t xml:space="preserve"> </w:t>
      </w:r>
      <w:hyperlink r:id="rId106">
        <w:r>
          <w:rPr>
            <w:rStyle w:val="Hyperlink"/>
          </w:rPr>
          <w:t xml:space="preserve">https://doi.org/10.1631/jzus.B1500203</w:t>
        </w:r>
      </w:hyperlink>
    </w:p>
    <w:bookmarkEnd w:id="107"/>
    <w:bookmarkStart w:id="109" w:name="ref-Celi2022"/>
    <w:p>
      <w:pPr>
        <w:pStyle w:val="Bibliografia"/>
      </w:pPr>
      <w:r>
        <w:t xml:space="preserve">Celi, L., D. Said‐Pullicino, R. Bol, F. Lang &amp; J. Luster (2022).</w:t>
      </w:r>
      <w:r>
        <w:t xml:space="preserve"> </w:t>
      </w:r>
      <w:hyperlink r:id="rId108">
        <w:r>
          <w:rPr>
            <w:rStyle w:val="Hyperlink"/>
          </w:rPr>
          <w:t xml:space="preserve">INTERCONNECTING SOIL ORGANIC MATTER WITH NITROGEN AND PHOSPHORUS CYCLING</w:t>
        </w:r>
      </w:hyperlink>
      <w:r>
        <w:t xml:space="preserve">. Em</w:t>
      </w:r>
      <w:r>
        <w:t xml:space="preserve"> </w:t>
      </w:r>
      <w:r>
        <w:rPr>
          <w:i/>
          <w:iCs/>
        </w:rPr>
        <w:t xml:space="preserve">Multi‐Scale Biogeochemical Processes in Soil Ecosystems</w:t>
      </w:r>
      <w:r>
        <w:t xml:space="preserve"> </w:t>
      </w:r>
      <w:r>
        <w:t xml:space="preserve">( p. 51–77). Wiley.</w:t>
      </w:r>
    </w:p>
    <w:bookmarkEnd w:id="109"/>
    <w:bookmarkStart w:id="111" w:name="ref-Chen2025"/>
    <w:p>
      <w:pPr>
        <w:pStyle w:val="Bibliografia"/>
      </w:pPr>
      <w:r>
        <w:t xml:space="preserve">Chen, J., Y. Li, H. Xu, Z. Zhou, D. Chen, X. Ma, et al. (2025). Plant Functional Traits Define Microbial Response to Nutrient Availability in Tropical Rainforest Soil.</w:t>
      </w:r>
      <w:r>
        <w:t xml:space="preserve"> </w:t>
      </w:r>
      <w:r>
        <w:rPr>
          <w:i/>
          <w:iCs/>
        </w:rPr>
        <w:t xml:space="preserve">Global Change Biology</w:t>
      </w:r>
      <w:r>
        <w:t xml:space="preserve">,</w:t>
      </w:r>
      <w:r>
        <w:t xml:space="preserve"> </w:t>
      </w:r>
      <w:r>
        <w:rPr>
          <w:b/>
          <w:bCs/>
        </w:rPr>
        <w:t xml:space="preserve">31</w:t>
      </w:r>
      <w:r>
        <w:t xml:space="preserve">.</w:t>
      </w:r>
      <w:r>
        <w:t xml:space="preserve"> </w:t>
      </w:r>
      <w:hyperlink r:id="rId110">
        <w:r>
          <w:rPr>
            <w:rStyle w:val="Hyperlink"/>
          </w:rPr>
          <w:t xml:space="preserve">https://doi.org/10.1111/gcb.70457</w:t>
        </w:r>
      </w:hyperlink>
    </w:p>
    <w:bookmarkEnd w:id="111"/>
    <w:bookmarkStart w:id="113" w:name="ref-chen2018"/>
    <w:p>
      <w:pPr>
        <w:pStyle w:val="Bibliografia"/>
      </w:pPr>
      <w:r>
        <w:t xml:space="preserve">Chen, R., M. Senbayram, S. Blagodatsky, O. Myachina, K. Dittert, C. Liu, et al.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b/>
          <w:bCs/>
        </w:rPr>
        <w:t xml:space="preserve">24</w:t>
      </w:r>
      <w:r>
        <w:t xml:space="preserve">, (12) p. 5122–5134.</w:t>
      </w:r>
      <w:r>
        <w:t xml:space="preserve"> </w:t>
      </w:r>
      <w:hyperlink r:id="rId112">
        <w:r>
          <w:rPr>
            <w:rStyle w:val="Hyperlink"/>
          </w:rPr>
          <w:t xml:space="preserve">https://doi.org/10.1111/gcb.14474</w:t>
        </w:r>
      </w:hyperlink>
    </w:p>
    <w:bookmarkEnd w:id="113"/>
    <w:bookmarkStart w:id="114" w:name="ref-cho2021"/>
    <w:p>
      <w:pPr>
        <w:pStyle w:val="Bibliografia"/>
      </w:pPr>
      <w:r>
        <w:t xml:space="preserve">Cho, H. S. et al. (2021). Topographic analysis of soil properties.</w:t>
      </w:r>
      <w:r>
        <w:t xml:space="preserve"> </w:t>
      </w:r>
      <w:r>
        <w:rPr>
          <w:i/>
          <w:iCs/>
        </w:rPr>
        <w:t xml:space="preserve">Soil Science Society of America Journal</w:t>
      </w:r>
      <w:r>
        <w:t xml:space="preserve">,</w:t>
      </w:r>
      <w:r>
        <w:t xml:space="preserve"> </w:t>
      </w:r>
      <w:r>
        <w:rPr>
          <w:b/>
          <w:bCs/>
        </w:rPr>
        <w:t xml:space="preserve">85</w:t>
      </w:r>
      <w:r>
        <w:t xml:space="preserve"> p.</w:t>
      </w:r>
    </w:p>
    <w:bookmarkEnd w:id="114"/>
    <w:bookmarkStart w:id="116" w:name="ref-cotrufo2019"/>
    <w:p>
      <w:pPr>
        <w:pStyle w:val="Bibliografia"/>
      </w:pPr>
      <w:r>
        <w:t xml:space="preserve">Cotrufo, M. F., M. G. Ranalli, M. L. Haddix, J. Six &amp; E. Lugato (2019). Soil carbon storage informed by particulate and mineral-associated organic matter.</w:t>
      </w:r>
      <w:r>
        <w:t xml:space="preserve"> </w:t>
      </w:r>
      <w:r>
        <w:rPr>
          <w:i/>
          <w:iCs/>
        </w:rPr>
        <w:t xml:space="preserve">Nature Geoscience</w:t>
      </w:r>
      <w:r>
        <w:t xml:space="preserve">,</w:t>
      </w:r>
      <w:r>
        <w:t xml:space="preserve"> </w:t>
      </w:r>
      <w:r>
        <w:rPr>
          <w:b/>
          <w:bCs/>
        </w:rPr>
        <w:t xml:space="preserve">12</w:t>
      </w:r>
      <w:r>
        <w:t xml:space="preserve"> p. 989–994.</w:t>
      </w:r>
      <w:r>
        <w:t xml:space="preserve"> </w:t>
      </w:r>
      <w:hyperlink r:id="rId115">
        <w:r>
          <w:rPr>
            <w:rStyle w:val="Hyperlink"/>
          </w:rPr>
          <w:t xml:space="preserve">https://doi.org/10.1038/s41561-019-0484-6</w:t>
        </w:r>
      </w:hyperlink>
    </w:p>
    <w:bookmarkEnd w:id="116"/>
    <w:bookmarkStart w:id="118" w:name="ref-Cotrufo2013"/>
    <w:p>
      <w:pPr>
        <w:pStyle w:val="Bibliografia"/>
      </w:pPr>
      <w:r>
        <w:t xml:space="preserve">Cotrufo, M. F., M. D. Wallenstein, C. M. Boot, K. Denef &amp; E. Paul (2013). The Microbial Efficiency-Matrix Stabilization (MEMS) framework integrates plant litter decomposition with soil organic matter stabilization: do labile plant inputs form stable soil organic matter?</w:t>
      </w:r>
      <w:r>
        <w:t xml:space="preserve"> </w:t>
      </w:r>
      <w:r>
        <w:rPr>
          <w:i/>
          <w:iCs/>
        </w:rPr>
        <w:t xml:space="preserve">Global Change Biology</w:t>
      </w:r>
      <w:r>
        <w:t xml:space="preserve">,</w:t>
      </w:r>
      <w:r>
        <w:t xml:space="preserve"> </w:t>
      </w:r>
      <w:r>
        <w:rPr>
          <w:b/>
          <w:bCs/>
        </w:rPr>
        <w:t xml:space="preserve">19</w:t>
      </w:r>
      <w:r>
        <w:t xml:space="preserve"> p. 988–995.</w:t>
      </w:r>
      <w:r>
        <w:t xml:space="preserve"> </w:t>
      </w:r>
      <w:hyperlink r:id="rId117">
        <w:r>
          <w:rPr>
            <w:rStyle w:val="Hyperlink"/>
          </w:rPr>
          <w:t xml:space="preserve">https://doi.org/10.1111/gcb.12113</w:t>
        </w:r>
      </w:hyperlink>
    </w:p>
    <w:bookmarkEnd w:id="118"/>
    <w:bookmarkStart w:id="120" w:name="ref-crespo2024"/>
    <w:p>
      <w:pPr>
        <w:pStyle w:val="Bibliografia"/>
      </w:pPr>
      <w:r>
        <w:t xml:space="preserve">Crespo, C. M. G., V. C. Piscoya, R. C. P. de Melo, L. M. Pereira, L. D. V. Santos, F. S. R. Holanda, et al.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b/>
          <w:bCs/>
        </w:rPr>
        <w:t xml:space="preserve">14</w:t>
      </w:r>
      <w:r>
        <w:t xml:space="preserve"> p. 2847.</w:t>
      </w:r>
      <w:r>
        <w:t xml:space="preserve"> </w:t>
      </w:r>
      <w:hyperlink r:id="rId119">
        <w:r>
          <w:rPr>
            <w:rStyle w:val="Hyperlink"/>
          </w:rPr>
          <w:t xml:space="preserve">https://doi.org/10.3390/agronomy14122847</w:t>
        </w:r>
      </w:hyperlink>
    </w:p>
    <w:bookmarkEnd w:id="120"/>
    <w:bookmarkStart w:id="121" w:name="ref-eckardt2021"/>
    <w:p>
      <w:pPr>
        <w:pStyle w:val="Bibliografia"/>
      </w:pPr>
      <w:r>
        <w:t xml:space="preserve">Eckardt, J. et al. (2021). Cultivo de milho no cerrado.</w:t>
      </w:r>
      <w:r>
        <w:t xml:space="preserve"> </w:t>
      </w:r>
      <w:r>
        <w:rPr>
          <w:i/>
          <w:iCs/>
        </w:rPr>
        <w:t xml:space="preserve">Journal of Agriculture</w:t>
      </w:r>
      <w:r>
        <w:t xml:space="preserve">.</w:t>
      </w:r>
    </w:p>
    <w:bookmarkEnd w:id="121"/>
    <w:bookmarkStart w:id="123" w:name="ref-Fanin2016"/>
    <w:p>
      <w:pPr>
        <w:pStyle w:val="Bibliografia"/>
      </w:pPr>
      <w:r>
        <w:t xml:space="preserve">Fanin, N., S. Hättenschwiler, P. F. C. Soria &amp; N. Fromin (2016). (A)synchronous Availabilities of N and P Regulate the Activity and Structure of the Microbial Decomposer Community.</w:t>
      </w:r>
      <w:r>
        <w:t xml:space="preserve"> </w:t>
      </w:r>
      <w:r>
        <w:rPr>
          <w:i/>
          <w:iCs/>
        </w:rPr>
        <w:t xml:space="preserve">Frontiers in Microbiology</w:t>
      </w:r>
      <w:r>
        <w:t xml:space="preserve">,</w:t>
      </w:r>
      <w:r>
        <w:t xml:space="preserve"> </w:t>
      </w:r>
      <w:r>
        <w:rPr>
          <w:b/>
          <w:bCs/>
        </w:rPr>
        <w:t xml:space="preserve">6</w:t>
      </w:r>
      <w:r>
        <w:t xml:space="preserve">.</w:t>
      </w:r>
      <w:r>
        <w:t xml:space="preserve"> </w:t>
      </w:r>
      <w:hyperlink r:id="rId122">
        <w:r>
          <w:rPr>
            <w:rStyle w:val="Hyperlink"/>
          </w:rPr>
          <w:t xml:space="preserve">https://doi.org/10.3389/fmicb.2015.01507</w:t>
        </w:r>
      </w:hyperlink>
    </w:p>
    <w:bookmarkEnd w:id="123"/>
    <w:bookmarkStart w:id="125" w:name="ref-ferreira2021"/>
    <w:p>
      <w:pPr>
        <w:pStyle w:val="Bibliografia"/>
      </w:pPr>
      <w:r>
        <w:t xml:space="preserve">Ferreira, G. W. D., F. C. C. Oliveira, E. M. B. Soares, J. Schnecker, I. R. Silva &amp; A. S. Grandy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b/>
          <w:bCs/>
        </w:rPr>
        <w:t xml:space="preserve">12</w:t>
      </w:r>
      <w:r>
        <w:t xml:space="preserve">.</w:t>
      </w:r>
      <w:r>
        <w:t xml:space="preserve"> </w:t>
      </w:r>
      <w:hyperlink r:id="rId124">
        <w:r>
          <w:rPr>
            <w:rStyle w:val="Hyperlink"/>
          </w:rPr>
          <w:t xml:space="preserve">https://doi.org/10.1002/ecs2.3439</w:t>
        </w:r>
      </w:hyperlink>
    </w:p>
    <w:bookmarkEnd w:id="125"/>
    <w:bookmarkStart w:id="127" w:name="ref-Gao2017"/>
    <w:p>
      <w:pPr>
        <w:pStyle w:val="Bibliografia"/>
      </w:pPr>
      <w:r>
        <w:t xml:space="preserve">Gao, J., B. Jansen, C. Cerli, R. Helmus, R. Mikutta, S. Dultz, et al. (2017). Competition and surface conditioning alter the adsorption of phenolic and amino acids on soil minerals.</w:t>
      </w:r>
      <w:r>
        <w:t xml:space="preserve"> </w:t>
      </w:r>
      <w:r>
        <w:rPr>
          <w:i/>
          <w:iCs/>
        </w:rPr>
        <w:t xml:space="preserve">European Journal of Soil Science</w:t>
      </w:r>
      <w:r>
        <w:t xml:space="preserve">,</w:t>
      </w:r>
      <w:r>
        <w:t xml:space="preserve"> </w:t>
      </w:r>
      <w:r>
        <w:rPr>
          <w:b/>
          <w:bCs/>
        </w:rPr>
        <w:t xml:space="preserve">68</w:t>
      </w:r>
      <w:r>
        <w:t xml:space="preserve"> p. 667–677.</w:t>
      </w:r>
      <w:r>
        <w:t xml:space="preserve"> </w:t>
      </w:r>
      <w:hyperlink r:id="rId126">
        <w:r>
          <w:rPr>
            <w:rStyle w:val="Hyperlink"/>
          </w:rPr>
          <w:t xml:space="preserve">https://doi.org/10.1111/ejss.12459</w:t>
        </w:r>
      </w:hyperlink>
    </w:p>
    <w:bookmarkEnd w:id="127"/>
    <w:bookmarkStart w:id="129" w:name="ref-Gerke2024"/>
    <w:p>
      <w:pPr>
        <w:pStyle w:val="Bibliografia"/>
      </w:pPr>
      <w:r>
        <w:t xml:space="preserve">Gerke, J. (2024). Improving Phosphate Acquisition from Soil via Higher Plants While Approaching Peak Phosphorus Worldwide: A Critical Review of Current Concepts and Misconceptions.</w:t>
      </w:r>
      <w:r>
        <w:t xml:space="preserve"> </w:t>
      </w:r>
      <w:r>
        <w:rPr>
          <w:i/>
          <w:iCs/>
        </w:rPr>
        <w:t xml:space="preserve">Plants</w:t>
      </w:r>
      <w:r>
        <w:t xml:space="preserve">,</w:t>
      </w:r>
      <w:r>
        <w:t xml:space="preserve"> </w:t>
      </w:r>
      <w:r>
        <w:rPr>
          <w:b/>
          <w:bCs/>
        </w:rPr>
        <w:t xml:space="preserve">13</w:t>
      </w:r>
      <w:r>
        <w:t xml:space="preserve"> p. 3478.</w:t>
      </w:r>
      <w:r>
        <w:t xml:space="preserve"> </w:t>
      </w:r>
      <w:hyperlink r:id="rId128">
        <w:r>
          <w:rPr>
            <w:rStyle w:val="Hyperlink"/>
          </w:rPr>
          <w:t xml:space="preserve">https://doi.org/10.3390/plants13243478</w:t>
        </w:r>
      </w:hyperlink>
    </w:p>
    <w:bookmarkEnd w:id="129"/>
    <w:bookmarkStart w:id="130" w:name="ref-hair2021"/>
    <w:p>
      <w:pPr>
        <w:pStyle w:val="Bibliografia"/>
      </w:pPr>
      <w:r>
        <w:t xml:space="preserve">Hair, J. F., G. T. M. Hult, C. M. Ringle &amp; M. Sarstedt (2021).</w:t>
      </w:r>
      <w:r>
        <w:t xml:space="preserve"> </w:t>
      </w:r>
      <w:r>
        <w:rPr>
          <w:i/>
          <w:iCs/>
        </w:rPr>
        <w:t xml:space="preserve">A primer on Partial Least Squares Structural Equation Modeling (PLS-SEM)</w:t>
      </w:r>
      <w:r>
        <w:t xml:space="preserve">. Sage Publications: 3º ed.</w:t>
      </w:r>
    </w:p>
    <w:bookmarkEnd w:id="130"/>
    <w:bookmarkStart w:id="132" w:name="ref-helfenstein2020"/>
    <w:p>
      <w:pPr>
        <w:pStyle w:val="Bibliografia"/>
      </w:pPr>
      <w:r>
        <w:t xml:space="preserve">Helfenstein, J., J. Jegminat, T. I. McLaren, E. Frossard &amp; A. Oberson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b/>
          <w:bCs/>
        </w:rPr>
        <w:t xml:space="preserve">156</w:t>
      </w:r>
      <w:r>
        <w:t xml:space="preserve"> p. 108193.</w:t>
      </w:r>
      <w:r>
        <w:t xml:space="preserve"> </w:t>
      </w:r>
      <w:hyperlink r:id="rId131">
        <w:r>
          <w:rPr>
            <w:rStyle w:val="Hyperlink"/>
          </w:rPr>
          <w:t xml:space="preserve">https://doi.org/10.1016/j.soilbio.2021.108193</w:t>
        </w:r>
      </w:hyperlink>
    </w:p>
    <w:bookmarkEnd w:id="132"/>
    <w:bookmarkStart w:id="134" w:name="ref-Jindo2023"/>
    <w:p>
      <w:pPr>
        <w:pStyle w:val="Bibliografia"/>
      </w:pPr>
      <w:r>
        <w:t xml:space="preserve">Jindo, K., Y. Audette, F. L. Olivares, L. P. Canellas, D. S. Smith &amp; R. P. Voroney (2023). Biotic and abiotic effects of soil organic matter on the phytoavailable phosphorus in soils: a review.</w:t>
      </w:r>
      <w:r>
        <w:t xml:space="preserve"> </w:t>
      </w:r>
      <w:r>
        <w:rPr>
          <w:i/>
          <w:iCs/>
        </w:rPr>
        <w:t xml:space="preserve">Chemical and Biological Technologies in Agriculture</w:t>
      </w:r>
      <w:r>
        <w:t xml:space="preserve">,</w:t>
      </w:r>
      <w:r>
        <w:t xml:space="preserve"> </w:t>
      </w:r>
      <w:r>
        <w:rPr>
          <w:b/>
          <w:bCs/>
        </w:rPr>
        <w:t xml:space="preserve">10</w:t>
      </w:r>
      <w:r>
        <w:t xml:space="preserve"> p. 29.</w:t>
      </w:r>
      <w:r>
        <w:t xml:space="preserve"> </w:t>
      </w:r>
      <w:hyperlink r:id="rId133">
        <w:r>
          <w:rPr>
            <w:rStyle w:val="Hyperlink"/>
          </w:rPr>
          <w:t xml:space="preserve">https://doi.org/10.1186/s40538-023-00401-y</w:t>
        </w:r>
      </w:hyperlink>
    </w:p>
    <w:bookmarkEnd w:id="134"/>
    <w:bookmarkStart w:id="135" w:name="ref-ker1997"/>
    <w:p>
      <w:pPr>
        <w:pStyle w:val="Bibliografia"/>
      </w:pPr>
      <w:r>
        <w:t xml:space="preserve">Ker, J. C. (1997). Latossolos do Brasil: uma revisão.</w:t>
      </w:r>
      <w:r>
        <w:t xml:space="preserve"> </w:t>
      </w:r>
      <w:r>
        <w:rPr>
          <w:i/>
          <w:iCs/>
        </w:rPr>
        <w:t xml:space="preserve">Geonomos</w:t>
      </w:r>
      <w:r>
        <w:t xml:space="preserve">,</w:t>
      </w:r>
      <w:r>
        <w:t xml:space="preserve"> </w:t>
      </w:r>
      <w:r>
        <w:rPr>
          <w:b/>
          <w:bCs/>
        </w:rPr>
        <w:t xml:space="preserve">5</w:t>
      </w:r>
      <w:r>
        <w:t xml:space="preserve">, (1) p. 17–40.</w:t>
      </w:r>
    </w:p>
    <w:bookmarkEnd w:id="135"/>
    <w:bookmarkStart w:id="136" w:name="ref-klink2005"/>
    <w:p>
      <w:pPr>
        <w:pStyle w:val="Bibliografia"/>
      </w:pPr>
      <w:r>
        <w:t xml:space="preserve">Klink, C. A. &amp; R. B. Machado (2005). Conservation of the Brazilian Cerrado.</w:t>
      </w:r>
      <w:r>
        <w:t xml:space="preserve"> </w:t>
      </w:r>
      <w:r>
        <w:rPr>
          <w:i/>
          <w:iCs/>
        </w:rPr>
        <w:t xml:space="preserve">Conservation Biology</w:t>
      </w:r>
      <w:r>
        <w:t xml:space="preserve">,</w:t>
      </w:r>
      <w:r>
        <w:t xml:space="preserve"> </w:t>
      </w:r>
      <w:r>
        <w:rPr>
          <w:b/>
          <w:bCs/>
        </w:rPr>
        <w:t xml:space="preserve">19</w:t>
      </w:r>
      <w:r>
        <w:t xml:space="preserve">, (3) p. 707–713.</w:t>
      </w:r>
    </w:p>
    <w:bookmarkEnd w:id="136"/>
    <w:bookmarkStart w:id="138" w:name="ref-lal2020"/>
    <w:p>
      <w:pPr>
        <w:pStyle w:val="Bibliografia"/>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b/>
          <w:bCs/>
        </w:rPr>
        <w:t xml:space="preserve">31</w:t>
      </w:r>
      <w:r>
        <w:t xml:space="preserve">, (9) p. 1369–1382.</w:t>
      </w:r>
      <w:r>
        <w:t xml:space="preserve"> </w:t>
      </w:r>
      <w:hyperlink r:id="rId137">
        <w:r>
          <w:rPr>
            <w:rStyle w:val="Hyperlink"/>
          </w:rPr>
          <w:t xml:space="preserve">https://doi.org/10.1002/ldr.3580</w:t>
        </w:r>
      </w:hyperlink>
    </w:p>
    <w:bookmarkEnd w:id="138"/>
    <w:bookmarkStart w:id="140" w:name="ref-leal2024"/>
    <w:p>
      <w:pPr>
        <w:pStyle w:val="Bibliografia"/>
      </w:pPr>
      <w:r>
        <w:t xml:space="preserve">Leal, O. dos A., G. S. Santana, H. Knicker, F. J. González-Vila, J. A. González-Pérez &amp; D. P. Dick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b/>
          <w:bCs/>
        </w:rPr>
        <w:t xml:space="preserve">441</w:t>
      </w:r>
      <w:r>
        <w:t xml:space="preserve"> p. 116745.</w:t>
      </w:r>
      <w:r>
        <w:t xml:space="preserve"> </w:t>
      </w:r>
      <w:hyperlink r:id="rId139">
        <w:r>
          <w:rPr>
            <w:rStyle w:val="Hyperlink"/>
          </w:rPr>
          <w:t xml:space="preserve">https://doi.org/10.1016/j.geoderma.2023.116745</w:t>
        </w:r>
      </w:hyperlink>
    </w:p>
    <w:bookmarkEnd w:id="140"/>
    <w:bookmarkStart w:id="142" w:name="ref-lehmann2015"/>
    <w:p>
      <w:pPr>
        <w:pStyle w:val="Bibliografia"/>
      </w:pPr>
      <w:r>
        <w:t xml:space="preserve">Lehmann, J. &amp; M. Kleber (2015). The contentious nature of soil organic matter.</w:t>
      </w:r>
      <w:r>
        <w:t xml:space="preserve"> </w:t>
      </w:r>
      <w:r>
        <w:rPr>
          <w:i/>
          <w:iCs/>
        </w:rPr>
        <w:t xml:space="preserve">Nature</w:t>
      </w:r>
      <w:r>
        <w:t xml:space="preserve">,</w:t>
      </w:r>
      <w:r>
        <w:t xml:space="preserve"> </w:t>
      </w:r>
      <w:r>
        <w:rPr>
          <w:b/>
          <w:bCs/>
        </w:rPr>
        <w:t xml:space="preserve">528</w:t>
      </w:r>
      <w:r>
        <w:t xml:space="preserve"> p. 60–68.</w:t>
      </w:r>
      <w:r>
        <w:t xml:space="preserve"> </w:t>
      </w:r>
      <w:hyperlink r:id="rId141">
        <w:r>
          <w:rPr>
            <w:rStyle w:val="Hyperlink"/>
          </w:rPr>
          <w:t xml:space="preserve">https://doi.org/10.1038/nature16069</w:t>
        </w:r>
      </w:hyperlink>
    </w:p>
    <w:bookmarkEnd w:id="142"/>
    <w:bookmarkStart w:id="144" w:name="ref-lima2023"/>
    <w:p>
      <w:pPr>
        <w:pStyle w:val="Bibliografia"/>
      </w:pPr>
      <w:r>
        <w:t xml:space="preserve">Lima, J. R. S., F. V. Andrade, M. F. P. Santos &amp; E. S. Mendonça (2023). Integrating fuzzy logic and soil indicators to assess the sustainability of tropical agroecosystems.</w:t>
      </w:r>
      <w:r>
        <w:t xml:space="preserve"> </w:t>
      </w:r>
      <w:r>
        <w:rPr>
          <w:i/>
          <w:iCs/>
        </w:rPr>
        <w:t xml:space="preserve">Ecological Indicators</w:t>
      </w:r>
      <w:r>
        <w:t xml:space="preserve">,</w:t>
      </w:r>
      <w:r>
        <w:t xml:space="preserve"> </w:t>
      </w:r>
      <w:r>
        <w:rPr>
          <w:b/>
          <w:bCs/>
        </w:rPr>
        <w:t xml:space="preserve">150</w:t>
      </w:r>
      <w:r>
        <w:t xml:space="preserve"> p. 110234.</w:t>
      </w:r>
      <w:r>
        <w:t xml:space="preserve"> </w:t>
      </w:r>
      <w:hyperlink r:id="rId143">
        <w:r>
          <w:rPr>
            <w:rStyle w:val="Hyperlink"/>
          </w:rPr>
          <w:t xml:space="preserve">https://doi.org/10.1016/j.ecolind.2023.110234</w:t>
        </w:r>
      </w:hyperlink>
    </w:p>
    <w:bookmarkEnd w:id="144"/>
    <w:bookmarkStart w:id="145" w:name="ref-lopes1996"/>
    <w:p>
      <w:pPr>
        <w:pStyle w:val="Bibliografia"/>
      </w:pPr>
      <w:r>
        <w:t xml:space="preserve">Lopes, A. S. &amp; L. R. G. Guilherme (1996). A career perspective on soil management in the Cerrado region of Brazil.</w:t>
      </w:r>
      <w:r>
        <w:t xml:space="preserve"> </w:t>
      </w:r>
      <w:r>
        <w:rPr>
          <w:i/>
          <w:iCs/>
        </w:rPr>
        <w:t xml:space="preserve">Advances in Agronomy</w:t>
      </w:r>
      <w:r>
        <w:t xml:space="preserve">,</w:t>
      </w:r>
      <w:r>
        <w:t xml:space="preserve"> </w:t>
      </w:r>
      <w:r>
        <w:rPr>
          <w:b/>
          <w:bCs/>
        </w:rPr>
        <w:t xml:space="preserve">57</w:t>
      </w:r>
      <w:r>
        <w:t xml:space="preserve"> p. 1–64.</w:t>
      </w:r>
    </w:p>
    <w:bookmarkEnd w:id="145"/>
    <w:bookmarkStart w:id="146" w:name="ref-machado2024"/>
    <w:p>
      <w:pPr>
        <w:pStyle w:val="Bibliografia"/>
      </w:pPr>
      <w:r>
        <w:t xml:space="preserve">Machado, I. E. S. et al. (2024). Sistemas de culturas para o cultivo de soja no cerrado.</w:t>
      </w:r>
      <w:r>
        <w:t xml:space="preserve"> </w:t>
      </w:r>
      <w:r>
        <w:rPr>
          <w:i/>
          <w:iCs/>
        </w:rPr>
        <w:t xml:space="preserve">Revista Caderno Pedagógico</w:t>
      </w:r>
      <w:r>
        <w:t xml:space="preserve">,</w:t>
      </w:r>
      <w:r>
        <w:t xml:space="preserve"> </w:t>
      </w:r>
      <w:r>
        <w:rPr>
          <w:b/>
          <w:bCs/>
        </w:rPr>
        <w:t xml:space="preserve">21</w:t>
      </w:r>
      <w:r>
        <w:t xml:space="preserve">, (7) p. 1–21.</w:t>
      </w:r>
    </w:p>
    <w:bookmarkEnd w:id="146"/>
    <w:bookmarkStart w:id="148" w:name="ref-mamdani1977"/>
    <w:p>
      <w:pPr>
        <w:pStyle w:val="Bibliografia"/>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b/>
          <w:bCs/>
        </w:rPr>
        <w:t xml:space="preserve">26</w:t>
      </w:r>
      <w:r>
        <w:t xml:space="preserve">, (12) p. 1182–1191.</w:t>
      </w:r>
      <w:r>
        <w:t xml:space="preserve"> </w:t>
      </w:r>
      <w:hyperlink r:id="rId147">
        <w:r>
          <w:rPr>
            <w:rStyle w:val="Hyperlink"/>
          </w:rPr>
          <w:t xml:space="preserve">https://doi.org/10.1109/TC.1977.1674779</w:t>
        </w:r>
      </w:hyperlink>
    </w:p>
    <w:bookmarkEnd w:id="148"/>
    <w:bookmarkStart w:id="150" w:name="ref-marinhojunior2021"/>
    <w:p>
      <w:pPr>
        <w:pStyle w:val="Bibliografia"/>
      </w:pPr>
      <w:r>
        <w:t xml:space="preserve">Marinho Junior, J. L., V. C. Piscoya, M. M. Fernandes, S. B. Gonçalves, F. S. R. Holanda, M. Cunha Filho, et al.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b/>
          <w:bCs/>
        </w:rPr>
        <w:t xml:space="preserve">28</w:t>
      </w:r>
      <w:r>
        <w:t xml:space="preserve">.</w:t>
      </w:r>
      <w:r>
        <w:t xml:space="preserve"> </w:t>
      </w:r>
      <w:hyperlink r:id="rId149">
        <w:r>
          <w:rPr>
            <w:rStyle w:val="Hyperlink"/>
          </w:rPr>
          <w:t xml:space="preserve">https://doi.org/10.1590/2179-8087-floram-2020-0024</w:t>
        </w:r>
      </w:hyperlink>
    </w:p>
    <w:bookmarkEnd w:id="150"/>
    <w:bookmarkStart w:id="152" w:name="ref-mendonca2024"/>
    <w:p>
      <w:pPr>
        <w:pStyle w:val="Bibliografia"/>
      </w:pPr>
      <w:r>
        <w:t xml:space="preserve">Mendonça, E. S., J. R. S. Lima &amp; A. L. Ferreira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b/>
          <w:bCs/>
        </w:rPr>
        <w:t xml:space="preserve">173</w:t>
      </w:r>
      <w:r>
        <w:t xml:space="preserve"> p. 105783.</w:t>
      </w:r>
      <w:r>
        <w:t xml:space="preserve"> </w:t>
      </w:r>
      <w:hyperlink r:id="rId151">
        <w:r>
          <w:rPr>
            <w:rStyle w:val="Hyperlink"/>
          </w:rPr>
          <w:t xml:space="preserve">https://doi.org/10.1016/j.envsoft.2024.105783</w:t>
        </w:r>
      </w:hyperlink>
    </w:p>
    <w:bookmarkEnd w:id="152"/>
    <w:bookmarkStart w:id="154" w:name="ref-Mevik2007"/>
    <w:p>
      <w:pPr>
        <w:pStyle w:val="Bibliografia"/>
      </w:pPr>
      <w:r>
        <w:t xml:space="preserve">Mevik, B.-H. &amp; R. Wehrens (2007). The pls Package: Principal Component and Partial Least Squares Regression in R.</w:t>
      </w:r>
      <w:r>
        <w:t xml:space="preserve"> </w:t>
      </w:r>
      <w:r>
        <w:rPr>
          <w:i/>
          <w:iCs/>
        </w:rPr>
        <w:t xml:space="preserve">Journal of Statistical Software</w:t>
      </w:r>
      <w:r>
        <w:t xml:space="preserve">,</w:t>
      </w:r>
      <w:r>
        <w:t xml:space="preserve"> </w:t>
      </w:r>
      <w:r>
        <w:rPr>
          <w:b/>
          <w:bCs/>
        </w:rPr>
        <w:t xml:space="preserve">18</w:t>
      </w:r>
      <w:r>
        <w:t xml:space="preserve">.</w:t>
      </w:r>
      <w:r>
        <w:t xml:space="preserve"> </w:t>
      </w:r>
      <w:hyperlink r:id="rId153">
        <w:r>
          <w:rPr>
            <w:rStyle w:val="Hyperlink"/>
          </w:rPr>
          <w:t xml:space="preserve">https://doi.org/10.18637/jss.v018.i02</w:t>
        </w:r>
      </w:hyperlink>
    </w:p>
    <w:bookmarkEnd w:id="154"/>
    <w:bookmarkStart w:id="155" w:name="ref-moreira2021"/>
    <w:p>
      <w:pPr>
        <w:pStyle w:val="Bibliografia"/>
      </w:pPr>
      <w:r>
        <w:t xml:space="preserve">Moreira, M. F. et al. (2021). Teca: implantação e produção no Brasil.</w:t>
      </w:r>
      <w:r>
        <w:t xml:space="preserve"> </w:t>
      </w:r>
      <w:r>
        <w:rPr>
          <w:i/>
          <w:iCs/>
        </w:rPr>
        <w:t xml:space="preserve">Arrudea</w:t>
      </w:r>
      <w:r>
        <w:t xml:space="preserve">,</w:t>
      </w:r>
      <w:r>
        <w:t xml:space="preserve"> </w:t>
      </w:r>
      <w:r>
        <w:rPr>
          <w:b/>
          <w:bCs/>
        </w:rPr>
        <w:t xml:space="preserve">7</w:t>
      </w:r>
      <w:r>
        <w:t xml:space="preserve"> p. 73–82.</w:t>
      </w:r>
    </w:p>
    <w:bookmarkEnd w:id="155"/>
    <w:bookmarkStart w:id="157" w:name="ref-Pang2025"/>
    <w:p>
      <w:pPr>
        <w:pStyle w:val="Bibliografia"/>
      </w:pPr>
      <w:r>
        <w:t xml:space="preserve">Pang, C., Z. Zhang, X. Zhu, W. Wei, A. Mustafa, W. Chen, et al. (2025). Divergent Microbial Metabolic Limitations Across Soil Depths After Two Decades of High Nitrogen Inputs in a Primary Tropical Forest.</w:t>
      </w:r>
      <w:r>
        <w:t xml:space="preserve"> </w:t>
      </w:r>
      <w:r>
        <w:rPr>
          <w:i/>
          <w:iCs/>
        </w:rPr>
        <w:t xml:space="preserve">Global Change Biology</w:t>
      </w:r>
      <w:r>
        <w:t xml:space="preserve">,</w:t>
      </w:r>
      <w:r>
        <w:t xml:space="preserve"> </w:t>
      </w:r>
      <w:r>
        <w:rPr>
          <w:b/>
          <w:bCs/>
        </w:rPr>
        <w:t xml:space="preserve">31</w:t>
      </w:r>
      <w:r>
        <w:t xml:space="preserve">.</w:t>
      </w:r>
      <w:r>
        <w:t xml:space="preserve"> </w:t>
      </w:r>
      <w:hyperlink r:id="rId156">
        <w:r>
          <w:rPr>
            <w:rStyle w:val="Hyperlink"/>
          </w:rPr>
          <w:t xml:space="preserve">https://doi.org/10.1111/gcb.70440</w:t>
        </w:r>
      </w:hyperlink>
    </w:p>
    <w:bookmarkEnd w:id="157"/>
    <w:bookmarkStart w:id="159" w:name="ref-paul2016"/>
    <w:p>
      <w:pPr>
        <w:pStyle w:val="Bibliografia"/>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b/>
          <w:bCs/>
        </w:rPr>
        <w:t xml:space="preserve">98</w:t>
      </w:r>
      <w:r>
        <w:t xml:space="preserve"> p. 109–123.</w:t>
      </w:r>
      <w:r>
        <w:t xml:space="preserve"> </w:t>
      </w:r>
      <w:hyperlink r:id="rId158">
        <w:r>
          <w:rPr>
            <w:rStyle w:val="Hyperlink"/>
          </w:rPr>
          <w:t xml:space="preserve">https://doi.org/10.1016/j.soilbio.2016.04.001</w:t>
        </w:r>
      </w:hyperlink>
    </w:p>
    <w:bookmarkEnd w:id="159"/>
    <w:bookmarkStart w:id="161" w:name="ref-pegoraro2011"/>
    <w:p>
      <w:pPr>
        <w:pStyle w:val="Bibliografia"/>
      </w:pPr>
      <w:r>
        <w:t xml:space="preserve">Pegoraro, R. F., I. R. da Silva, R. F. de Novais, N. F. de Barros, S. Fonseca &amp; C. S. Dambroz (2011). Estoques de carbono e nitrogênio nas frações da matéria orgânica em argissolo sob eucalipto e pastagem.</w:t>
      </w:r>
      <w:r>
        <w:t xml:space="preserve"> </w:t>
      </w:r>
      <w:r>
        <w:rPr>
          <w:i/>
          <w:iCs/>
        </w:rPr>
        <w:t xml:space="preserve">Ciência Florestal</w:t>
      </w:r>
      <w:r>
        <w:t xml:space="preserve">,</w:t>
      </w:r>
      <w:r>
        <w:t xml:space="preserve"> </w:t>
      </w:r>
      <w:r>
        <w:rPr>
          <w:b/>
          <w:bCs/>
        </w:rPr>
        <w:t xml:space="preserve">21</w:t>
      </w:r>
      <w:r>
        <w:t xml:space="preserve"> p. 261–273.</w:t>
      </w:r>
      <w:r>
        <w:t xml:space="preserve"> </w:t>
      </w:r>
      <w:hyperlink r:id="rId160">
        <w:r>
          <w:rPr>
            <w:rStyle w:val="Hyperlink"/>
          </w:rPr>
          <w:t xml:space="preserve">https://doi.org/10.5902/198050983230</w:t>
        </w:r>
      </w:hyperlink>
    </w:p>
    <w:bookmarkEnd w:id="161"/>
    <w:bookmarkStart w:id="162" w:name="ref-queiroz2017"/>
    <w:p>
      <w:pPr>
        <w:pStyle w:val="Bibliografia"/>
      </w:pPr>
      <w:r>
        <w:t xml:space="preserve">Queiroz, W. T. et al.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b/>
          <w:bCs/>
        </w:rPr>
        <w:t xml:space="preserve">27</w:t>
      </w:r>
      <w:r>
        <w:t xml:space="preserve">, (1) p. 47–59.</w:t>
      </w:r>
    </w:p>
    <w:bookmarkEnd w:id="162"/>
    <w:bookmarkStart w:id="164" w:name="ref-Team2019"/>
    <w:p>
      <w:pPr>
        <w:pStyle w:val="Bibliografia"/>
      </w:pPr>
      <w:r>
        <w:t xml:space="preserve">R Core Team (2024). R: A Language and Environment for Statistical Computing. Recuperado de</w:t>
      </w:r>
      <w:r>
        <w:t xml:space="preserve"> </w:t>
      </w:r>
      <w:hyperlink r:id="rId163">
        <w:r>
          <w:rPr>
            <w:rStyle w:val="Hyperlink"/>
          </w:rPr>
          <w:t xml:space="preserve">https://www.r-project.org/</w:t>
        </w:r>
      </w:hyperlink>
    </w:p>
    <w:bookmarkEnd w:id="164"/>
    <w:bookmarkStart w:id="165" w:name="ref-sano2019"/>
    <w:p>
      <w:pPr>
        <w:pStyle w:val="Bibliografia"/>
      </w:pPr>
      <w:r>
        <w:t xml:space="preserve">Sano, E. E. et al.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b/>
          <w:bCs/>
        </w:rPr>
        <w:t xml:space="preserve">232</w:t>
      </w:r>
      <w:r>
        <w:t xml:space="preserve"> p. 818–828.</w:t>
      </w:r>
    </w:p>
    <w:bookmarkEnd w:id="165"/>
    <w:bookmarkStart w:id="167" w:name="ref-sano2020"/>
    <w:p>
      <w:pPr>
        <w:pStyle w:val="Bibliografia"/>
      </w:pPr>
      <w:r>
        <w:t xml:space="preserve">Sano, E. E., A. A. Rodrigues, E. S. Martins &amp; G. M. Bettiol (2020). Cerrado e suas transformações: Dinâmica da ocupação e desafios à conservação.</w:t>
      </w:r>
      <w:r>
        <w:t xml:space="preserve"> </w:t>
      </w:r>
      <w:r>
        <w:rPr>
          <w:i/>
          <w:iCs/>
        </w:rPr>
        <w:t xml:space="preserve">Revista Brasileira de Geografia Física</w:t>
      </w:r>
      <w:r>
        <w:t xml:space="preserve">,</w:t>
      </w:r>
      <w:r>
        <w:t xml:space="preserve"> </w:t>
      </w:r>
      <w:r>
        <w:rPr>
          <w:b/>
          <w:bCs/>
        </w:rPr>
        <w:t xml:space="preserve">13</w:t>
      </w:r>
      <w:r>
        <w:t xml:space="preserve">, (2) p. 442–459.</w:t>
      </w:r>
      <w:r>
        <w:t xml:space="preserve"> </w:t>
      </w:r>
      <w:hyperlink r:id="rId166">
        <w:r>
          <w:rPr>
            <w:rStyle w:val="Hyperlink"/>
          </w:rPr>
          <w:t xml:space="preserve">https://doi.org/10.26848/rbgf.v13.2.p442-459</w:t>
        </w:r>
      </w:hyperlink>
    </w:p>
    <w:bookmarkEnd w:id="167"/>
    <w:bookmarkStart w:id="169" w:name="ref-santos2024"/>
    <w:p>
      <w:pPr>
        <w:pStyle w:val="Bibliografia"/>
      </w:pPr>
      <w:r>
        <w:t xml:space="preserve">Santos, L. D. V., L. M. Pereira, S. A. B. da Silva, F. S. R. Holanda, R. C. P. de Melo, M. Cunha Filho, et al.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b/>
          <w:bCs/>
        </w:rPr>
        <w:t xml:space="preserve">88</w:t>
      </w:r>
      <w:r>
        <w:t xml:space="preserve"> p. 1234–1248.</w:t>
      </w:r>
      <w:r>
        <w:t xml:space="preserve"> </w:t>
      </w:r>
      <w:hyperlink r:id="rId168">
        <w:r>
          <w:rPr>
            <w:rStyle w:val="Hyperlink"/>
          </w:rPr>
          <w:t xml:space="preserve">https://doi.org/10.1002/saj2.20567</w:t>
        </w:r>
      </w:hyperlink>
    </w:p>
    <w:bookmarkEnd w:id="169"/>
    <w:bookmarkStart w:id="171" w:name="ref-Schaap2023"/>
    <w:p>
      <w:pPr>
        <w:pStyle w:val="Bibliografia"/>
      </w:pPr>
      <w:r>
        <w:t xml:space="preserve">Schaap, K. J., L. Fuchslueger, C. A. Quesada, F. Hofhansl, O. Valverde-Barrantes, P. B. Camargo, et al. (2023). Seasonal fluctuations of extracellular enzyme activities are related to the biogeochemical cycling of C, N and P in a tropical terra-firme forest.</w:t>
      </w:r>
      <w:r>
        <w:t xml:space="preserve"> </w:t>
      </w:r>
      <w:r>
        <w:rPr>
          <w:i/>
          <w:iCs/>
        </w:rPr>
        <w:t xml:space="preserve">Biogeochemistry</w:t>
      </w:r>
      <w:r>
        <w:t xml:space="preserve">,</w:t>
      </w:r>
      <w:r>
        <w:t xml:space="preserve"> </w:t>
      </w:r>
      <w:r>
        <w:rPr>
          <w:b/>
          <w:bCs/>
        </w:rPr>
        <w:t xml:space="preserve">163</w:t>
      </w:r>
      <w:r>
        <w:t xml:space="preserve"> p. 1–15.</w:t>
      </w:r>
      <w:r>
        <w:t xml:space="preserve"> </w:t>
      </w:r>
      <w:hyperlink r:id="rId170">
        <w:r>
          <w:rPr>
            <w:rStyle w:val="Hyperlink"/>
          </w:rPr>
          <w:t xml:space="preserve">https://doi.org/10.1007/s10533-022-01009-4</w:t>
        </w:r>
      </w:hyperlink>
    </w:p>
    <w:bookmarkEnd w:id="171"/>
    <w:bookmarkStart w:id="173" w:name="ref-sekaran2020"/>
    <w:p>
      <w:pPr>
        <w:pStyle w:val="Bibliografia"/>
      </w:pPr>
      <w:r>
        <w:t xml:space="preserve">Sekaran, U., J. R. Loya, G. O. Abagandura, S. Subramanian, V. Owens &amp; S. Kumar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b/>
          <w:bCs/>
        </w:rPr>
        <w:t xml:space="preserve">147</w:t>
      </w:r>
      <w:r>
        <w:t xml:space="preserve">.</w:t>
      </w:r>
      <w:r>
        <w:t xml:space="preserve"> </w:t>
      </w:r>
      <w:hyperlink r:id="rId172">
        <w:r>
          <w:rPr>
            <w:rStyle w:val="Hyperlink"/>
          </w:rPr>
          <w:t xml:space="preserve">https://doi.org/10.1016/j.apsoil.2019.103427</w:t>
        </w:r>
      </w:hyperlink>
    </w:p>
    <w:bookmarkEnd w:id="173"/>
    <w:bookmarkStart w:id="175" w:name="ref-silva2024"/>
    <w:p>
      <w:pPr>
        <w:pStyle w:val="Bibliografia"/>
      </w:pPr>
      <w:r>
        <w:t xml:space="preserve">Silva, B. de O., M. R. Moitinho, A. R. Panosso, D. M. da S. Oliveira, R. Montanari, M. L. T. de Moraes, et al.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b/>
          <w:bCs/>
        </w:rPr>
        <w:t xml:space="preserve">358</w:t>
      </w:r>
      <w:r>
        <w:t xml:space="preserve"> p. 120796.</w:t>
      </w:r>
      <w:r>
        <w:t xml:space="preserve"> </w:t>
      </w:r>
      <w:hyperlink r:id="rId174">
        <w:r>
          <w:rPr>
            <w:rStyle w:val="Hyperlink"/>
          </w:rPr>
          <w:t xml:space="preserve">https://doi.org/10.1016/j.jenvman.2024.120796</w:t>
        </w:r>
      </w:hyperlink>
    </w:p>
    <w:bookmarkEnd w:id="175"/>
    <w:bookmarkStart w:id="177" w:name="ref-silva2022"/>
    <w:p>
      <w:pPr>
        <w:pStyle w:val="Bibliografia"/>
      </w:pPr>
      <w:r>
        <w:t xml:space="preserve">Silva, R. F., A. M. Siqueira &amp; A. P. Andrade (2022). Land-use intensification reduces soil organic matter stability in tropical regions.</w:t>
      </w:r>
      <w:r>
        <w:t xml:space="preserve"> </w:t>
      </w:r>
      <w:r>
        <w:rPr>
          <w:i/>
          <w:iCs/>
        </w:rPr>
        <w:t xml:space="preserve">Science of the Total Environment</w:t>
      </w:r>
      <w:r>
        <w:t xml:space="preserve">,</w:t>
      </w:r>
      <w:r>
        <w:t xml:space="preserve"> </w:t>
      </w:r>
      <w:r>
        <w:rPr>
          <w:b/>
          <w:bCs/>
        </w:rPr>
        <w:t xml:space="preserve">821</w:t>
      </w:r>
      <w:r>
        <w:t xml:space="preserve"> p. 153289.</w:t>
      </w:r>
      <w:r>
        <w:t xml:space="preserve"> </w:t>
      </w:r>
      <w:hyperlink r:id="rId176">
        <w:r>
          <w:rPr>
            <w:rStyle w:val="Hyperlink"/>
          </w:rPr>
          <w:t xml:space="preserve">https://doi.org/10.1016/j.scitotenv.2022.153289</w:t>
        </w:r>
      </w:hyperlink>
    </w:p>
    <w:bookmarkEnd w:id="177"/>
    <w:bookmarkStart w:id="178" w:name="ref-silva2023"/>
    <w:p>
      <w:pPr>
        <w:pStyle w:val="Bibliografia"/>
      </w:pPr>
      <w:r>
        <w:t xml:space="preserve">Silva, R. R. &amp; S. Barreira (2023). DESENVOLVIMENTO DE Khaya grandifoliola C. Dc.SOB DIFERENTES ESPAÇAMENTOS DE PLANTIO.</w:t>
      </w:r>
      <w:r>
        <w:t xml:space="preserve"> </w:t>
      </w:r>
      <w:r>
        <w:rPr>
          <w:i/>
          <w:iCs/>
        </w:rPr>
        <w:t xml:space="preserve">AGRARIAN ACADEMY</w:t>
      </w:r>
      <w:r>
        <w:t xml:space="preserve">,</w:t>
      </w:r>
      <w:r>
        <w:t xml:space="preserve"> </w:t>
      </w:r>
      <w:r>
        <w:rPr>
          <w:b/>
          <w:bCs/>
        </w:rPr>
        <w:t xml:space="preserve">10</w:t>
      </w:r>
      <w:r>
        <w:t xml:space="preserve">, (19) p. 91.</w:t>
      </w:r>
    </w:p>
    <w:bookmarkEnd w:id="178"/>
    <w:bookmarkStart w:id="179" w:name="ref-sisti2004"/>
    <w:p>
      <w:pPr>
        <w:pStyle w:val="Bibliografia"/>
      </w:pPr>
      <w:r>
        <w:t xml:space="preserve">Sisti, C. P. J. et al.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b/>
          <w:bCs/>
        </w:rPr>
        <w:t xml:space="preserve">76</w:t>
      </w:r>
      <w:r>
        <w:t xml:space="preserve">, (1) p. 39–58.</w:t>
      </w:r>
    </w:p>
    <w:bookmarkEnd w:id="179"/>
    <w:bookmarkStart w:id="181" w:name="ref-sousa2021"/>
    <w:p>
      <w:pPr>
        <w:pStyle w:val="Bibliografia"/>
      </w:pPr>
      <w:r>
        <w:t xml:space="preserve">Sousa, D. M. G., H. G. Santos &amp; J. S. Carneiro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b/>
          <w:bCs/>
        </w:rPr>
        <w:t xml:space="preserve">319</w:t>
      </w:r>
      <w:r>
        <w:t xml:space="preserve"> p. 107567.</w:t>
      </w:r>
      <w:r>
        <w:t xml:space="preserve"> </w:t>
      </w:r>
      <w:hyperlink r:id="rId180">
        <w:r>
          <w:rPr>
            <w:rStyle w:val="Hyperlink"/>
          </w:rPr>
          <w:t xml:space="preserve">https://doi.org/10.1016/j.agee.2021.107567</w:t>
        </w:r>
      </w:hyperlink>
    </w:p>
    <w:bookmarkEnd w:id="181"/>
    <w:bookmarkStart w:id="182" w:name="ref-stevenson1994"/>
    <w:p>
      <w:pPr>
        <w:pStyle w:val="Bibliografia"/>
      </w:pPr>
      <w:r>
        <w:t xml:space="preserve">Stevenson, F. J. (1994).</w:t>
      </w:r>
      <w:r>
        <w:t xml:space="preserve"> </w:t>
      </w:r>
      <w:r>
        <w:rPr>
          <w:i/>
          <w:iCs/>
        </w:rPr>
        <w:t xml:space="preserve">Humus chemistry: Genesis, composition, reactions</w:t>
      </w:r>
      <w:r>
        <w:t xml:space="preserve">. Wiley: 2º ed.</w:t>
      </w:r>
    </w:p>
    <w:bookmarkEnd w:id="182"/>
    <w:bookmarkStart w:id="184" w:name="ref-strassburg2017"/>
    <w:p>
      <w:pPr>
        <w:pStyle w:val="Bibliografia"/>
      </w:pPr>
      <w:r>
        <w:t xml:space="preserve">Strassburg, B. B. N., T. Brooks, R. Feltran-Barbieri, et al. (2017). Moment of truth for the Cerrado hotspot.</w:t>
      </w:r>
      <w:r>
        <w:t xml:space="preserve"> </w:t>
      </w:r>
      <w:r>
        <w:rPr>
          <w:i/>
          <w:iCs/>
        </w:rPr>
        <w:t xml:space="preserve">Nature Ecology and Evolution</w:t>
      </w:r>
      <w:r>
        <w:t xml:space="preserve">,</w:t>
      </w:r>
      <w:r>
        <w:t xml:space="preserve"> </w:t>
      </w:r>
      <w:r>
        <w:rPr>
          <w:b/>
          <w:bCs/>
        </w:rPr>
        <w:t xml:space="preserve">1</w:t>
      </w:r>
      <w:r>
        <w:t xml:space="preserve"> p. 0099.</w:t>
      </w:r>
      <w:r>
        <w:t xml:space="preserve"> </w:t>
      </w:r>
      <w:hyperlink r:id="rId183">
        <w:r>
          <w:rPr>
            <w:rStyle w:val="Hyperlink"/>
          </w:rPr>
          <w:t xml:space="preserve">https://doi.org/10.1038/s41559-017-0099</w:t>
        </w:r>
      </w:hyperlink>
    </w:p>
    <w:bookmarkEnd w:id="184"/>
    <w:bookmarkStart w:id="185" w:name="ref-teixeira2017"/>
    <w:p>
      <w:pPr>
        <w:pStyle w:val="Bibliografia"/>
      </w:pPr>
      <w:r>
        <w:t xml:space="preserve">Teixeira, P. C. et al. (2017).</w:t>
      </w:r>
      <w:r>
        <w:t xml:space="preserve"> </w:t>
      </w:r>
      <w:r>
        <w:rPr>
          <w:i/>
          <w:iCs/>
        </w:rPr>
        <w:t xml:space="preserve">Manual e métodos de análise de solo</w:t>
      </w:r>
      <w:r>
        <w:t xml:space="preserve">. Brasília, DF: Embrapa: 3º ed.</w:t>
      </w:r>
    </w:p>
    <w:bookmarkEnd w:id="185"/>
    <w:bookmarkStart w:id="186" w:name="ref-thornthwaite1948"/>
    <w:p>
      <w:pPr>
        <w:pStyle w:val="Bibliografia"/>
      </w:pPr>
      <w:r>
        <w:t xml:space="preserve">Thornthwaite, C. W. (1948). An approach toward a rational classification of climate.</w:t>
      </w:r>
      <w:r>
        <w:t xml:space="preserve"> </w:t>
      </w:r>
      <w:r>
        <w:rPr>
          <w:i/>
          <w:iCs/>
        </w:rPr>
        <w:t xml:space="preserve">Geographical Review</w:t>
      </w:r>
      <w:r>
        <w:t xml:space="preserve">,</w:t>
      </w:r>
      <w:r>
        <w:t xml:space="preserve"> </w:t>
      </w:r>
      <w:r>
        <w:rPr>
          <w:b/>
          <w:bCs/>
        </w:rPr>
        <w:t xml:space="preserve">38</w:t>
      </w:r>
      <w:r>
        <w:t xml:space="preserve">, (1) p. 55–94.</w:t>
      </w:r>
    </w:p>
    <w:bookmarkEnd w:id="186"/>
    <w:bookmarkStart w:id="188" w:name="ref-tivet2013"/>
    <w:p>
      <w:pPr>
        <w:pStyle w:val="Bibliografia"/>
      </w:pPr>
      <w:r>
        <w:t xml:space="preserve">Tivet, F., J. C. M. Sá, R. Lal, C. Briedis, P. R. Borszowskei &amp; D. C. Hartman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b/>
          <w:bCs/>
        </w:rPr>
        <w:t xml:space="preserve">126</w:t>
      </w:r>
      <w:r>
        <w:t xml:space="preserve"> p. 203–218.</w:t>
      </w:r>
      <w:r>
        <w:t xml:space="preserve"> </w:t>
      </w:r>
      <w:hyperlink r:id="rId187">
        <w:r>
          <w:rPr>
            <w:rStyle w:val="Hyperlink"/>
          </w:rPr>
          <w:t xml:space="preserve">https://doi.org/10.1016/j.still.2012.09.006</w:t>
        </w:r>
      </w:hyperlink>
    </w:p>
    <w:bookmarkEnd w:id="188"/>
    <w:bookmarkStart w:id="189" w:name="ref-verai2022"/>
    <w:p>
      <w:pPr>
        <w:pStyle w:val="Bibliografia"/>
      </w:pPr>
      <w:r>
        <w:t xml:space="preserve">Verai, D. E. et al. (2022). Crescimento e forma do eucalipto em função da densidade de plantio.</w:t>
      </w:r>
      <w:r>
        <w:t xml:space="preserve"> </w:t>
      </w:r>
      <w:r>
        <w:rPr>
          <w:i/>
          <w:iCs/>
        </w:rPr>
        <w:t xml:space="preserve">Ciência Florestal</w:t>
      </w:r>
      <w:r>
        <w:t xml:space="preserve">,</w:t>
      </w:r>
      <w:r>
        <w:t xml:space="preserve"> </w:t>
      </w:r>
      <w:r>
        <w:rPr>
          <w:b/>
          <w:bCs/>
        </w:rPr>
        <w:t xml:space="preserve">32</w:t>
      </w:r>
      <w:r>
        <w:t xml:space="preserve">, (1) p. 504–522.</w:t>
      </w:r>
    </w:p>
    <w:bookmarkEnd w:id="189"/>
    <w:bookmarkStart w:id="191" w:name="ref-wang2023"/>
    <w:p>
      <w:pPr>
        <w:pStyle w:val="Bibliografia"/>
      </w:pPr>
      <w:r>
        <w:t xml:space="preserve">Wang, J., X. Zhang &amp; X. Wu (2023). Soil phosphorus dynamics under contrasting land uses in tropical ecosystems: A global synthesis.</w:t>
      </w:r>
      <w:r>
        <w:t xml:space="preserve"> </w:t>
      </w:r>
      <w:r>
        <w:rPr>
          <w:i/>
          <w:iCs/>
        </w:rPr>
        <w:t xml:space="preserve">Global Change Biology</w:t>
      </w:r>
      <w:r>
        <w:t xml:space="preserve">,</w:t>
      </w:r>
      <w:r>
        <w:t xml:space="preserve"> </w:t>
      </w:r>
      <w:r>
        <w:rPr>
          <w:b/>
          <w:bCs/>
        </w:rPr>
        <w:t xml:space="preserve">29</w:t>
      </w:r>
      <w:r>
        <w:t xml:space="preserve">, (4) p. 1154–1170.</w:t>
      </w:r>
      <w:r>
        <w:t xml:space="preserve"> </w:t>
      </w:r>
      <w:hyperlink r:id="rId190">
        <w:r>
          <w:rPr>
            <w:rStyle w:val="Hyperlink"/>
          </w:rPr>
          <w:t xml:space="preserve">https://doi.org/10.1111/gcb.16435</w:t>
        </w:r>
      </w:hyperlink>
    </w:p>
    <w:bookmarkEnd w:id="191"/>
    <w:bookmarkEnd w:id="192"/>
    <w:bookmarkEnd w:id="193"/>
    <w:sectPr w:rsidR="00FD51C0" w:rsidRPr="007A7EE4">
      <w:footnotePr>
        <w:numRestart w:val="eachSect"/>
      </w:footnotePr>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DD42E72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038C87A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29201033" w:numId="1">
    <w:abstractNumId w:val="0"/>
  </w:num>
  <w:num w16cid:durableId="1393237813"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FD51C0"/>
    <w:rsid w:val="000A76FB"/>
    <w:rsid w:val="00507131"/>
    <w:rsid w:val="005E3A96"/>
    <w:rsid w:val="007A7EE4"/>
    <w:rsid w:val="00B134E0"/>
    <w:rsid w:val="00F92731"/>
    <w:rsid w:val="00FD51C0"/>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8"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180" w:before="180" w:line="276" w:lineRule="auto"/>
        <w:ind w:firstLine="357"/>
        <w:jc w:val="both"/>
      </w:pPr>
    </w:pPrDefault>
  </w:docDefaults>
  <w:latentStyles w:count="376" w:defLockedState="0" w:defQFormat="0" w:defSemiHidden="0" w:defUIPriority="0" w:defUnhideWhenUsed="0">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link w:val="CorpodetextoChar"/>
    <w:qFormat/>
  </w:style>
  <w:style w:customStyle="1" w:styleId="FirstParagraph" w:type="paragraph">
    <w:name w:val="First Paragraph"/>
    <w:basedOn w:val="Corpodetexto"/>
    <w:next w:val="Corpodetexto"/>
    <w:link w:val="FirstParagraphChar"/>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z w:val="56"/>
      <w:szCs w:val="56"/>
    </w:rPr>
  </w:style>
  <w:style w:styleId="Subttulo" w:type="paragraph">
    <w:name w:val="Subtitle"/>
    <w:basedOn w:val="Ttulo"/>
    <w:next w:val="Corpodetexto"/>
    <w:link w:val="SubttuloChar"/>
    <w:uiPriority w:val="11"/>
    <w:qFormat/>
    <w:rsid w:val="00A10FD9"/>
    <w:pPr>
      <w:numPr>
        <w:ilvl w:val="1"/>
      </w:numPr>
      <w:ind w:firstLine="357"/>
    </w:pPr>
    <w:rPr>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tulo"/>
    <w:next w:val="Corpodetexto"/>
    <w:qFormat/>
    <w:pPr>
      <w:keepNext/>
      <w:keepLines/>
    </w:pPr>
    <w:rPr>
      <w:sz w:val="24"/>
      <w:szCs w:val="24"/>
    </w:rPr>
  </w:style>
  <w:style w:styleId="Data" w:type="paragraph">
    <w:name w:val="Date"/>
    <w:basedOn w:val="Ttulo"/>
    <w:next w:val="Corpodetexto"/>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uiPriority w:val="99"/>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styleId="Sumrio1" w:type="paragraph">
    <w:name w:val="toc 1"/>
    <w:basedOn w:val="Normal"/>
    <w:next w:val="Normal"/>
    <w:autoRedefine/>
    <w:uiPriority w:val="39"/>
    <w:rsid w:val="00507131"/>
    <w:pPr>
      <w:spacing w:after="100"/>
    </w:pPr>
  </w:style>
  <w:style w:styleId="Sumrio2" w:type="paragraph">
    <w:name w:val="toc 2"/>
    <w:basedOn w:val="Normal"/>
    <w:next w:val="Normal"/>
    <w:autoRedefine/>
    <w:uiPriority w:val="39"/>
    <w:rsid w:val="00507131"/>
    <w:pPr>
      <w:spacing w:after="100"/>
      <w:ind w:left="240"/>
    </w:pPr>
  </w:style>
  <w:style w:styleId="Sumrio3" w:type="paragraph">
    <w:name w:val="toc 3"/>
    <w:basedOn w:val="Normal"/>
    <w:next w:val="Normal"/>
    <w:autoRedefine/>
    <w:uiPriority w:val="39"/>
    <w:rsid w:val="00507131"/>
    <w:pPr>
      <w:spacing w:after="100"/>
      <w:ind w:left="480"/>
    </w:pPr>
  </w:style>
  <w:style w:styleId="Forte" w:type="character">
    <w:name w:val="Strong"/>
    <w:basedOn w:val="Fontepargpadro"/>
    <w:rsid w:val="000A76FB"/>
    <w:rPr>
      <w:b/>
      <w:bCs/>
    </w:rPr>
  </w:style>
  <w:style w:customStyle="1" w:styleId="Estilo1" w:type="paragraph">
    <w:name w:val="Estilo1"/>
    <w:basedOn w:val="FirstParagraph"/>
    <w:link w:val="Estilo1Char"/>
    <w:qFormat/>
    <w:rsid w:val="00B134E0"/>
    <w:rPr>
      <w:lang w:val="pt-BR"/>
    </w:rPr>
  </w:style>
  <w:style w:customStyle="1" w:styleId="CorpodetextoChar" w:type="character">
    <w:name w:val="Corpo de texto Char"/>
    <w:basedOn w:val="Fontepargpadro"/>
    <w:link w:val="Corpodetexto"/>
    <w:rsid w:val="00B134E0"/>
  </w:style>
  <w:style w:customStyle="1" w:styleId="FirstParagraphChar" w:type="character">
    <w:name w:val="First Paragraph Char"/>
    <w:basedOn w:val="CorpodetextoChar"/>
    <w:link w:val="FirstParagraph"/>
    <w:rsid w:val="00B134E0"/>
  </w:style>
  <w:style w:customStyle="1" w:styleId="Estilo1Char" w:type="character">
    <w:name w:val="Estilo1 Char"/>
    <w:basedOn w:val="FirstParagraphChar"/>
    <w:link w:val="Estilo1"/>
    <w:rsid w:val="00B134E0"/>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jp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27" Target="media/rId27.jpg" /><Relationship Type="http://schemas.openxmlformats.org/officeDocument/2006/relationships/image" Id="rId73" Target="media/rId73.png" /><Relationship Type="http://schemas.openxmlformats.org/officeDocument/2006/relationships/image" Id="rId30" Target="media/rId30.jp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36" Target="media/rId36.jpg" /><Relationship Type="http://schemas.openxmlformats.org/officeDocument/2006/relationships/image" Id="rId43" Target="media/rId43.png" /><Relationship Type="http://schemas.openxmlformats.org/officeDocument/2006/relationships/hyperlink" Id="rId108" Target="https://doi.org/10.1002/9781119480419.ch3" TargetMode="External" /><Relationship Type="http://schemas.openxmlformats.org/officeDocument/2006/relationships/hyperlink" Id="rId124" Target="https://doi.org/10.1002/ecs2.3439" TargetMode="External" /><Relationship Type="http://schemas.openxmlformats.org/officeDocument/2006/relationships/hyperlink" Id="rId137" Target="https://doi.org/10.1002/ldr.3580" TargetMode="External" /><Relationship Type="http://schemas.openxmlformats.org/officeDocument/2006/relationships/hyperlink" Id="rId168" Target="https://doi.org/10.1002/saj2.20567" TargetMode="External" /><Relationship Type="http://schemas.openxmlformats.org/officeDocument/2006/relationships/hyperlink" Id="rId170" Target="https://doi.org/10.1007/s10533-022-01009-4" TargetMode="External" /><Relationship Type="http://schemas.openxmlformats.org/officeDocument/2006/relationships/hyperlink" Id="rId180" Target="https://doi.org/10.1016/j.agee.2021.107567" TargetMode="External" /><Relationship Type="http://schemas.openxmlformats.org/officeDocument/2006/relationships/hyperlink" Id="rId172" Target="https://doi.org/10.1016/j.apsoil.2019.103427" TargetMode="External" /><Relationship Type="http://schemas.openxmlformats.org/officeDocument/2006/relationships/hyperlink" Id="rId143" Target="https://doi.org/10.1016/j.ecolind.2023.110234" TargetMode="External" /><Relationship Type="http://schemas.openxmlformats.org/officeDocument/2006/relationships/hyperlink" Id="rId151" Target="https://doi.org/10.1016/j.envsoft.2024.105783" TargetMode="External" /><Relationship Type="http://schemas.openxmlformats.org/officeDocument/2006/relationships/hyperlink" Id="rId103" Target="https://doi.org/10.1016/j.foreco.2024.122087" TargetMode="External" /><Relationship Type="http://schemas.openxmlformats.org/officeDocument/2006/relationships/hyperlink" Id="rId139" Target="https://doi.org/10.1016/j.geoderma.2023.116745" TargetMode="External" /><Relationship Type="http://schemas.openxmlformats.org/officeDocument/2006/relationships/hyperlink" Id="rId174" Target="https://doi.org/10.1016/j.jenvman.2024.120796" TargetMode="External" /><Relationship Type="http://schemas.openxmlformats.org/officeDocument/2006/relationships/hyperlink" Id="rId176" Target="https://doi.org/10.1016/j.scitotenv.2022.153289" TargetMode="External" /><Relationship Type="http://schemas.openxmlformats.org/officeDocument/2006/relationships/hyperlink" Id="rId158" Target="https://doi.org/10.1016/j.soilbio.2016.04.001" TargetMode="External" /><Relationship Type="http://schemas.openxmlformats.org/officeDocument/2006/relationships/hyperlink" Id="rId131" Target="https://doi.org/10.1016/j.soilbio.2021.108193" TargetMode="External" /><Relationship Type="http://schemas.openxmlformats.org/officeDocument/2006/relationships/hyperlink" Id="rId187" Target="https://doi.org/10.1016/j.still.2012.09.006" TargetMode="External" /><Relationship Type="http://schemas.openxmlformats.org/officeDocument/2006/relationships/hyperlink" Id="rId141" Target="https://doi.org/10.1038/nature16069" TargetMode="External" /><Relationship Type="http://schemas.openxmlformats.org/officeDocument/2006/relationships/hyperlink" Id="rId183" Target="https://doi.org/10.1038/s41559-017-0099" TargetMode="External" /><Relationship Type="http://schemas.openxmlformats.org/officeDocument/2006/relationships/hyperlink" Id="rId115" Target="https://doi.org/10.1038/s41561-019-0484-6" TargetMode="External" /><Relationship Type="http://schemas.openxmlformats.org/officeDocument/2006/relationships/hyperlink" Id="rId147" Target="https://doi.org/10.1109/TC.1977.1674779" TargetMode="External" /><Relationship Type="http://schemas.openxmlformats.org/officeDocument/2006/relationships/hyperlink" Id="rId126" Target="https://doi.org/10.1111/ejss.12459" TargetMode="External" /><Relationship Type="http://schemas.openxmlformats.org/officeDocument/2006/relationships/hyperlink" Id="rId117" Target="https://doi.org/10.1111/gcb.12113" TargetMode="External" /><Relationship Type="http://schemas.openxmlformats.org/officeDocument/2006/relationships/hyperlink" Id="rId112" Target="https://doi.org/10.1111/gcb.14474" TargetMode="External" /><Relationship Type="http://schemas.openxmlformats.org/officeDocument/2006/relationships/hyperlink" Id="rId190" Target="https://doi.org/10.1111/gcb.16435" TargetMode="External" /><Relationship Type="http://schemas.openxmlformats.org/officeDocument/2006/relationships/hyperlink" Id="rId156" Target="https://doi.org/10.1111/gcb.70440" TargetMode="External" /><Relationship Type="http://schemas.openxmlformats.org/officeDocument/2006/relationships/hyperlink" Id="rId110" Target="https://doi.org/10.1111/gcb.70457" TargetMode="External" /><Relationship Type="http://schemas.openxmlformats.org/officeDocument/2006/relationships/hyperlink" Id="rId133" Target="https://doi.org/10.1186/s40538-023-00401-y" TargetMode="External" /><Relationship Type="http://schemas.openxmlformats.org/officeDocument/2006/relationships/hyperlink" Id="rId149" Target="https://doi.org/10.1590/2179-8087-floram-2020-0024" TargetMode="External" /><Relationship Type="http://schemas.openxmlformats.org/officeDocument/2006/relationships/hyperlink" Id="rId106" Target="https://doi.org/10.1631/jzus.B1500203" TargetMode="External" /><Relationship Type="http://schemas.openxmlformats.org/officeDocument/2006/relationships/hyperlink" Id="rId153" Target="https://doi.org/10.18637/jss.v018.i02" TargetMode="External" /><Relationship Type="http://schemas.openxmlformats.org/officeDocument/2006/relationships/hyperlink" Id="rId166" Target="https://doi.org/10.26848/rbgf.v13.2.p442-459" TargetMode="External" /><Relationship Type="http://schemas.openxmlformats.org/officeDocument/2006/relationships/hyperlink" Id="rId122" Target="https://doi.org/10.3389/fmicb.2015.01507" TargetMode="External" /><Relationship Type="http://schemas.openxmlformats.org/officeDocument/2006/relationships/hyperlink" Id="rId119" Target="https://doi.org/10.3390/agronomy14122847" TargetMode="External" /><Relationship Type="http://schemas.openxmlformats.org/officeDocument/2006/relationships/hyperlink" Id="rId128" Target="https://doi.org/10.3390/plants13243478" TargetMode="External" /><Relationship Type="http://schemas.openxmlformats.org/officeDocument/2006/relationships/hyperlink" Id="rId160" Target="https://doi.org/10.5902/198050983230" TargetMode="External" /><Relationship Type="http://schemas.openxmlformats.org/officeDocument/2006/relationships/hyperlink" Id="rId16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8" Target="https://doi.org/10.1002/9781119480419.ch3" TargetMode="External" /><Relationship Type="http://schemas.openxmlformats.org/officeDocument/2006/relationships/hyperlink" Id="rId124" Target="https://doi.org/10.1002/ecs2.3439" TargetMode="External" /><Relationship Type="http://schemas.openxmlformats.org/officeDocument/2006/relationships/hyperlink" Id="rId137" Target="https://doi.org/10.1002/ldr.3580" TargetMode="External" /><Relationship Type="http://schemas.openxmlformats.org/officeDocument/2006/relationships/hyperlink" Id="rId168" Target="https://doi.org/10.1002/saj2.20567" TargetMode="External" /><Relationship Type="http://schemas.openxmlformats.org/officeDocument/2006/relationships/hyperlink" Id="rId170" Target="https://doi.org/10.1007/s10533-022-01009-4" TargetMode="External" /><Relationship Type="http://schemas.openxmlformats.org/officeDocument/2006/relationships/hyperlink" Id="rId180" Target="https://doi.org/10.1016/j.agee.2021.107567" TargetMode="External" /><Relationship Type="http://schemas.openxmlformats.org/officeDocument/2006/relationships/hyperlink" Id="rId172" Target="https://doi.org/10.1016/j.apsoil.2019.103427" TargetMode="External" /><Relationship Type="http://schemas.openxmlformats.org/officeDocument/2006/relationships/hyperlink" Id="rId143" Target="https://doi.org/10.1016/j.ecolind.2023.110234" TargetMode="External" /><Relationship Type="http://schemas.openxmlformats.org/officeDocument/2006/relationships/hyperlink" Id="rId151" Target="https://doi.org/10.1016/j.envsoft.2024.105783" TargetMode="External" /><Relationship Type="http://schemas.openxmlformats.org/officeDocument/2006/relationships/hyperlink" Id="rId103" Target="https://doi.org/10.1016/j.foreco.2024.122087" TargetMode="External" /><Relationship Type="http://schemas.openxmlformats.org/officeDocument/2006/relationships/hyperlink" Id="rId139" Target="https://doi.org/10.1016/j.geoderma.2023.116745" TargetMode="External" /><Relationship Type="http://schemas.openxmlformats.org/officeDocument/2006/relationships/hyperlink" Id="rId174" Target="https://doi.org/10.1016/j.jenvman.2024.120796" TargetMode="External" /><Relationship Type="http://schemas.openxmlformats.org/officeDocument/2006/relationships/hyperlink" Id="rId176" Target="https://doi.org/10.1016/j.scitotenv.2022.153289" TargetMode="External" /><Relationship Type="http://schemas.openxmlformats.org/officeDocument/2006/relationships/hyperlink" Id="rId158" Target="https://doi.org/10.1016/j.soilbio.2016.04.001" TargetMode="External" /><Relationship Type="http://schemas.openxmlformats.org/officeDocument/2006/relationships/hyperlink" Id="rId131" Target="https://doi.org/10.1016/j.soilbio.2021.108193" TargetMode="External" /><Relationship Type="http://schemas.openxmlformats.org/officeDocument/2006/relationships/hyperlink" Id="rId187" Target="https://doi.org/10.1016/j.still.2012.09.006" TargetMode="External" /><Relationship Type="http://schemas.openxmlformats.org/officeDocument/2006/relationships/hyperlink" Id="rId141" Target="https://doi.org/10.1038/nature16069" TargetMode="External" /><Relationship Type="http://schemas.openxmlformats.org/officeDocument/2006/relationships/hyperlink" Id="rId183" Target="https://doi.org/10.1038/s41559-017-0099" TargetMode="External" /><Relationship Type="http://schemas.openxmlformats.org/officeDocument/2006/relationships/hyperlink" Id="rId115" Target="https://doi.org/10.1038/s41561-019-0484-6" TargetMode="External" /><Relationship Type="http://schemas.openxmlformats.org/officeDocument/2006/relationships/hyperlink" Id="rId147" Target="https://doi.org/10.1109/TC.1977.1674779" TargetMode="External" /><Relationship Type="http://schemas.openxmlformats.org/officeDocument/2006/relationships/hyperlink" Id="rId126" Target="https://doi.org/10.1111/ejss.12459" TargetMode="External" /><Relationship Type="http://schemas.openxmlformats.org/officeDocument/2006/relationships/hyperlink" Id="rId117" Target="https://doi.org/10.1111/gcb.12113" TargetMode="External" /><Relationship Type="http://schemas.openxmlformats.org/officeDocument/2006/relationships/hyperlink" Id="rId112" Target="https://doi.org/10.1111/gcb.14474" TargetMode="External" /><Relationship Type="http://schemas.openxmlformats.org/officeDocument/2006/relationships/hyperlink" Id="rId190" Target="https://doi.org/10.1111/gcb.16435" TargetMode="External" /><Relationship Type="http://schemas.openxmlformats.org/officeDocument/2006/relationships/hyperlink" Id="rId156" Target="https://doi.org/10.1111/gcb.70440" TargetMode="External" /><Relationship Type="http://schemas.openxmlformats.org/officeDocument/2006/relationships/hyperlink" Id="rId110" Target="https://doi.org/10.1111/gcb.70457" TargetMode="External" /><Relationship Type="http://schemas.openxmlformats.org/officeDocument/2006/relationships/hyperlink" Id="rId133" Target="https://doi.org/10.1186/s40538-023-00401-y" TargetMode="External" /><Relationship Type="http://schemas.openxmlformats.org/officeDocument/2006/relationships/hyperlink" Id="rId149" Target="https://doi.org/10.1590/2179-8087-floram-2020-0024" TargetMode="External" /><Relationship Type="http://schemas.openxmlformats.org/officeDocument/2006/relationships/hyperlink" Id="rId106" Target="https://doi.org/10.1631/jzus.B1500203" TargetMode="External" /><Relationship Type="http://schemas.openxmlformats.org/officeDocument/2006/relationships/hyperlink" Id="rId153" Target="https://doi.org/10.18637/jss.v018.i02" TargetMode="External" /><Relationship Type="http://schemas.openxmlformats.org/officeDocument/2006/relationships/hyperlink" Id="rId166" Target="https://doi.org/10.26848/rbgf.v13.2.p442-459" TargetMode="External" /><Relationship Type="http://schemas.openxmlformats.org/officeDocument/2006/relationships/hyperlink" Id="rId122" Target="https://doi.org/10.3389/fmicb.2015.01507" TargetMode="External" /><Relationship Type="http://schemas.openxmlformats.org/officeDocument/2006/relationships/hyperlink" Id="rId119" Target="https://doi.org/10.3390/agronomy14122847" TargetMode="External" /><Relationship Type="http://schemas.openxmlformats.org/officeDocument/2006/relationships/hyperlink" Id="rId128" Target="https://doi.org/10.3390/plants13243478" TargetMode="External" /><Relationship Type="http://schemas.openxmlformats.org/officeDocument/2006/relationships/hyperlink" Id="rId160" Target="https://doi.org/10.5902/198050983230" TargetMode="External" /><Relationship Type="http://schemas.openxmlformats.org/officeDocument/2006/relationships/hyperlink" Id="rId16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45</Pages>
  <Words>14531</Words>
  <Characters>78470</Characters>
  <Application>Microsoft Office Word</Application>
  <DocSecurity>0</DocSecurity>
  <Lines>653</Lines>
  <Paragraphs>185</Paragraphs>
  <ScaleCrop>false</ScaleCrop>
  <Company/>
  <LinksUpToDate>false</LinksUpToDate>
  <CharactersWithSpaces>92816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et al.</dc:creator>
  <cp:keywords/>
  <dcterms:created xsi:type="dcterms:W3CDTF">2025-10-31T21:18:21Z</dcterms:created>
  <dcterms:modified xsi:type="dcterms:W3CDTF">2025-10-31T21:18:21Z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2025-10-31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